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Heading"/>
        <w:keepLines w:val="1"/>
        <w:bidi w:val="0"/>
        <w:spacing w:before="480" w:line="276" w:lineRule="auto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365f91"/>
          <w:rtl w:val="0"/>
        </w:rPr>
      </w:pPr>
      <w:r>
        <w:rPr>
          <w:rFonts w:ascii="Times New Roman" w:hAnsi="Times New Roman"/>
          <w:sz w:val="24"/>
          <w:szCs w:val="24"/>
          <w:u w:color="365f91"/>
          <w:rtl w:val="0"/>
          <w:lang w:val="en-US"/>
        </w:rPr>
        <w:t>HMHP-101 Phase I: Foundation &amp; Literature Review</w:t>
      </w:r>
    </w:p>
    <w:p>
      <w:pPr>
        <w:pStyle w:val="Heading 2"/>
        <w:keepLines w:val="1"/>
        <w:bidi w:val="0"/>
        <w:spacing w:before="200" w:line="276" w:lineRule="auto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4f81bd"/>
          <w:rtl w:val="0"/>
        </w:rPr>
      </w:pPr>
      <w:r>
        <w:rPr>
          <w:rFonts w:ascii="Times New Roman" w:hAnsi="Times New Roman"/>
          <w:sz w:val="24"/>
          <w:szCs w:val="24"/>
          <w:u w:color="4f81bd"/>
          <w:rtl w:val="0"/>
        </w:rPr>
        <w:t>Evidence Dossier S-003</w:t>
      </w:r>
    </w:p>
    <w:p>
      <w:pPr>
        <w:pStyle w:val="Heading 3"/>
        <w:keepLines w:val="1"/>
        <w:pBdr>
          <w:top w:val="nil"/>
          <w:left w:val="nil"/>
          <w:bottom w:val="nil"/>
          <w:right w:val="nil"/>
        </w:pBdr>
        <w:bidi w:val="0"/>
        <w:spacing w:before="200" w:after="0" w:line="276" w:lineRule="auto"/>
        <w:ind w:left="0" w:right="0" w:firstLine="0"/>
        <w:jc w:val="left"/>
        <w:outlineLvl w:val="2"/>
        <w:rPr>
          <w:rFonts w:ascii="Times New Roman" w:cs="Times New Roman" w:hAnsi="Times New Roman" w:eastAsia="Times New Roman"/>
          <w:b w:val="1"/>
          <w:bCs w:val="1"/>
          <w:spacing w:val="0"/>
          <w:sz w:val="24"/>
          <w:szCs w:val="24"/>
          <w:u w:color="4f81bd"/>
          <w:rtl w:val="0"/>
        </w:rPr>
      </w:pPr>
      <w:r>
        <w:rPr>
          <w:rFonts w:ascii="Times New Roman" w:hAnsi="Times New Roman"/>
          <w:b w:val="1"/>
          <w:bCs w:val="1"/>
          <w:spacing w:val="0"/>
          <w:sz w:val="24"/>
          <w:szCs w:val="24"/>
          <w:u w:color="4f81bd"/>
          <w:rtl w:val="0"/>
          <w:lang w:val="en-US"/>
        </w:rPr>
        <w:t>Customer Aggression, Incivility, and Workplace Mistreatment in Hospitality Employees</w:t>
      </w:r>
    </w:p>
    <w:p>
      <w:pPr>
        <w:pStyle w:val="Body"/>
        <w:bidi w:val="0"/>
        <w:spacing w:after="200" w:line="276" w:lineRule="auto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 w:hAnsi="Times New Roman"/>
          <w:sz w:val="24"/>
          <w:szCs w:val="24"/>
          <w:u w:color="000000"/>
          <w:rtl w:val="0"/>
          <w:lang w:val="en-US"/>
        </w:rPr>
        <w:t>Project: Hospitality Mental Health Project (HMHP)</w:t>
      </w:r>
      <w:r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  <w:br w:type="textWrapping"/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Phase: HMHP-101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– </w:t>
      </w:r>
      <w:r>
        <w:rPr>
          <w:rFonts w:ascii="Times New Roman" w:hAnsi="Times New Roman"/>
          <w:sz w:val="24"/>
          <w:szCs w:val="24"/>
          <w:u w:color="000000"/>
          <w:rtl w:val="0"/>
          <w:lang w:val="en-US"/>
        </w:rPr>
        <w:t>Foundation &amp; Literature Review</w:t>
      </w:r>
      <w:r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  <w:br w:type="textWrapping"/>
      </w:r>
      <w:r>
        <w:rPr>
          <w:rFonts w:ascii="Times New Roman" w:hAnsi="Times New Roman"/>
          <w:sz w:val="24"/>
          <w:szCs w:val="24"/>
          <w:u w:color="000000"/>
          <w:rtl w:val="0"/>
          <w:lang w:val="de-DE"/>
        </w:rPr>
        <w:t>Evidence Dossier: S-003</w:t>
      </w:r>
      <w:r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  <w:br w:type="textWrapping"/>
      </w:r>
      <w:r>
        <w:rPr>
          <w:rFonts w:ascii="Times New Roman" w:hAnsi="Times New Roman"/>
          <w:sz w:val="24"/>
          <w:szCs w:val="24"/>
          <w:u w:color="000000"/>
          <w:rtl w:val="0"/>
          <w:lang w:val="en-US"/>
        </w:rPr>
        <w:t>Status: Complete</w:t>
      </w:r>
      <w:r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  <w:br w:type="textWrapping"/>
      </w:r>
      <w:r>
        <w:rPr>
          <w:rFonts w:ascii="Times New Roman" w:hAnsi="Times New Roman"/>
          <w:sz w:val="24"/>
          <w:szCs w:val="24"/>
          <w:u w:color="000000"/>
          <w:rtl w:val="0"/>
          <w:lang w:val="de-DE"/>
        </w:rPr>
        <w:t>Version: 2.0</w:t>
      </w:r>
      <w:r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  <w:br w:type="textWrapping"/>
      </w:r>
      <w:r>
        <w:rPr>
          <w:rFonts w:ascii="Times New Roman" w:hAnsi="Times New Roman"/>
          <w:sz w:val="24"/>
          <w:szCs w:val="24"/>
          <w:u w:color="000000"/>
          <w:rtl w:val="0"/>
          <w:lang w:val="en-US"/>
        </w:rPr>
        <w:t>Date: June 2026</w:t>
      </w:r>
    </w:p>
    <w:p>
      <w:pPr>
        <w:pStyle w:val="Heading 2"/>
        <w:keepLines w:val="1"/>
        <w:bidi w:val="0"/>
        <w:spacing w:before="200" w:line="276" w:lineRule="auto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4f81bd"/>
          <w:rtl w:val="0"/>
        </w:rPr>
      </w:pPr>
      <w:r>
        <w:rPr>
          <w:rFonts w:ascii="Times New Roman" w:hAnsi="Times New Roman"/>
          <w:sz w:val="24"/>
          <w:szCs w:val="24"/>
          <w:u w:color="4f81bd"/>
          <w:rtl w:val="0"/>
          <w:lang w:val="en-US"/>
        </w:rPr>
        <w:t>Purpose</w:t>
      </w:r>
    </w:p>
    <w:p>
      <w:pPr>
        <w:pStyle w:val="Body"/>
        <w:bidi w:val="0"/>
        <w:spacing w:after="200" w:line="276" w:lineRule="auto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 w:hAnsi="Times New Roman"/>
          <w:sz w:val="24"/>
          <w:szCs w:val="24"/>
          <w:u w:color="000000"/>
          <w:rtl w:val="0"/>
          <w:lang w:val="en-US"/>
        </w:rPr>
        <w:t>The purpose of Evidence Dossier S-003 is to examine peer-reviewed literature concerning customer aggression, customer incivility, workplace mistreatment, harassment, and related interpersonal stressors experienced by hospitality employees. Building upon S-001 and S-002, this dossier examines the external occupational stressors that generate emotional labor and contribute to burnout and broader psychological distress.</w:t>
      </w:r>
    </w:p>
    <w:p>
      <w:pPr>
        <w:pStyle w:val="Heading 2"/>
        <w:keepLines w:val="1"/>
        <w:bidi w:val="0"/>
        <w:spacing w:before="200" w:line="276" w:lineRule="auto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4f81bd"/>
          <w:rtl w:val="0"/>
        </w:rPr>
      </w:pPr>
      <w:r>
        <w:rPr>
          <w:rFonts w:ascii="Times New Roman" w:hAnsi="Times New Roman"/>
          <w:sz w:val="24"/>
          <w:szCs w:val="24"/>
          <w:u w:color="4f81bd"/>
          <w:rtl w:val="0"/>
          <w:lang w:val="en-US"/>
        </w:rPr>
        <w:t>Research Objective</w:t>
      </w:r>
    </w:p>
    <w:p>
      <w:pPr>
        <w:pStyle w:val="Body"/>
        <w:bidi w:val="0"/>
        <w:spacing w:after="200" w:line="276" w:lineRule="auto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 w:hAnsi="Times New Roman"/>
          <w:sz w:val="24"/>
          <w:szCs w:val="24"/>
          <w:u w:color="000000"/>
          <w:rtl w:val="0"/>
          <w:lang w:val="en-US"/>
        </w:rPr>
        <w:t>To identify, evaluate, and synthesize peer-reviewed literature examining customer aggression, incivility, workplace mistreatment, harassment, and related interpersonal stressors affecting hospitality employees.</w:t>
      </w:r>
    </w:p>
    <w:p>
      <w:pPr>
        <w:pStyle w:val="Heading 2"/>
        <w:keepLines w:val="1"/>
        <w:bidi w:val="0"/>
        <w:spacing w:before="200" w:line="276" w:lineRule="auto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4f81bd"/>
          <w:rtl w:val="0"/>
        </w:rPr>
      </w:pPr>
      <w:r>
        <w:rPr>
          <w:rFonts w:ascii="Times New Roman" w:hAnsi="Times New Roman"/>
          <w:sz w:val="24"/>
          <w:szCs w:val="24"/>
          <w:u w:color="4f81bd"/>
          <w:rtl w:val="0"/>
          <w:lang w:val="en-US"/>
        </w:rPr>
        <w:t>Search Strategy</w:t>
      </w:r>
    </w:p>
    <w:p>
      <w:pPr>
        <w:pStyle w:val="Body"/>
        <w:bidi w:val="0"/>
        <w:spacing w:after="200" w:line="276" w:lineRule="auto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 w:hAnsi="Times New Roman"/>
          <w:sz w:val="24"/>
          <w:szCs w:val="24"/>
          <w:u w:color="000000"/>
          <w:rtl w:val="0"/>
          <w:lang w:val="en-US"/>
        </w:rPr>
        <w:t>Representative searches included hospitality AND customer aggression; hospitality employee* AND customer incivility; hotel employee* AND customer mistreatment; restaurant employee* AND workplace incivility; hospitality AND customer harassment; hospitality AND workplace violence. Citation chaining identified additional foundational studies.</w:t>
      </w:r>
    </w:p>
    <w:p>
      <w:pPr>
        <w:pStyle w:val="Heading 2"/>
        <w:keepLines w:val="1"/>
        <w:bidi w:val="0"/>
        <w:spacing w:before="200" w:line="276" w:lineRule="auto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4f81bd"/>
          <w:rtl w:val="0"/>
        </w:rPr>
      </w:pPr>
      <w:r>
        <w:rPr>
          <w:rFonts w:ascii="Times New Roman" w:hAnsi="Times New Roman"/>
          <w:sz w:val="24"/>
          <w:szCs w:val="24"/>
          <w:u w:color="4f81bd"/>
          <w:rtl w:val="0"/>
          <w:lang w:val="es-ES_tradnl"/>
        </w:rPr>
        <w:t>Inclusion Criteria</w:t>
      </w:r>
    </w:p>
    <w:p>
      <w:pPr>
        <w:pStyle w:val="Body"/>
        <w:bidi w:val="0"/>
        <w:spacing w:after="200" w:line="276" w:lineRule="auto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 w:hAnsi="Times New Roman"/>
          <w:sz w:val="24"/>
          <w:szCs w:val="24"/>
          <w:u w:color="000000"/>
          <w:rtl w:val="0"/>
          <w:lang w:val="en-US"/>
        </w:rPr>
        <w:t>Hospitality/tourism employees; customer aggression/incivility/mistreatment; peer-reviewed studies; English.</w:t>
      </w:r>
    </w:p>
    <w:p>
      <w:pPr>
        <w:pStyle w:val="Heading 2"/>
        <w:keepLines w:val="1"/>
        <w:bidi w:val="0"/>
        <w:spacing w:before="200" w:line="276" w:lineRule="auto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4f81bd"/>
          <w:rtl w:val="0"/>
        </w:rPr>
      </w:pPr>
      <w:r>
        <w:rPr>
          <w:rFonts w:ascii="Times New Roman" w:hAnsi="Times New Roman"/>
          <w:sz w:val="24"/>
          <w:szCs w:val="24"/>
          <w:u w:color="4f81bd"/>
          <w:rtl w:val="0"/>
          <w:lang w:val="fr-FR"/>
        </w:rPr>
        <w:t>Exclusion Criteria</w:t>
      </w:r>
    </w:p>
    <w:p>
      <w:pPr>
        <w:pStyle w:val="Body"/>
        <w:bidi w:val="0"/>
        <w:spacing w:after="200" w:line="276" w:lineRule="auto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 w:hAnsi="Times New Roman"/>
          <w:sz w:val="24"/>
          <w:szCs w:val="24"/>
          <w:u w:color="000000"/>
          <w:rtl w:val="0"/>
          <w:lang w:val="en-US"/>
        </w:rPr>
        <w:t>Non-hospitality occupations; general incivility without hospitality relevance; editorials/non-peer-reviewed work.</w:t>
      </w:r>
    </w:p>
    <w:p>
      <w:pPr>
        <w:pStyle w:val="Heading 2"/>
        <w:keepLines w:val="1"/>
        <w:bidi w:val="0"/>
        <w:spacing w:before="200" w:line="276" w:lineRule="auto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4f81bd"/>
          <w:rtl w:val="0"/>
        </w:rPr>
      </w:pPr>
      <w:r>
        <w:rPr>
          <w:rFonts w:ascii="Times New Roman" w:hAnsi="Times New Roman"/>
          <w:sz w:val="24"/>
          <w:szCs w:val="24"/>
          <w:u w:color="4f81bd"/>
          <w:rtl w:val="0"/>
          <w:lang w:val="en-US"/>
        </w:rPr>
        <w:t>Evidence Summary</w:t>
      </w:r>
    </w:p>
    <w:p>
      <w:pPr>
        <w:pStyle w:val="Body"/>
        <w:bidi w:val="0"/>
        <w:spacing w:after="200" w:line="276" w:lineRule="auto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 w:hAnsi="Times New Roman"/>
          <w:sz w:val="24"/>
          <w:szCs w:val="24"/>
          <w:u w:color="000000"/>
          <w:rtl w:val="0"/>
          <w:lang w:val="en-US"/>
        </w:rPr>
        <w:t>Customer aggression, incivility, and workplace mistreatment are major occupational stressors. Repeated exposure increases emotional labor, burnout, turnover intentions, and counterproductive workplace behaviors. Organizational support and psychological safety buffer these effects.</w:t>
      </w:r>
    </w:p>
    <w:p>
      <w:pPr>
        <w:pStyle w:val="Heading 2"/>
        <w:keepLines w:val="1"/>
        <w:bidi w:val="0"/>
        <w:spacing w:before="200" w:line="276" w:lineRule="auto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4f81bd"/>
          <w:rtl w:val="0"/>
        </w:rPr>
      </w:pPr>
      <w:r>
        <w:rPr>
          <w:rFonts w:ascii="Times New Roman" w:hAnsi="Times New Roman"/>
          <w:sz w:val="24"/>
          <w:szCs w:val="24"/>
          <w:u w:color="4f81bd"/>
          <w:rtl w:val="0"/>
          <w:lang w:val="en-US"/>
        </w:rPr>
        <w:t>State of the Literature</w:t>
      </w:r>
    </w:p>
    <w:p>
      <w:pPr>
        <w:pStyle w:val="Body"/>
        <w:bidi w:val="0"/>
        <w:spacing w:after="200" w:line="276" w:lineRule="auto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 w:hAnsi="Times New Roman"/>
          <w:sz w:val="24"/>
          <w:szCs w:val="24"/>
          <w:u w:color="000000"/>
          <w:rtl w:val="0"/>
          <w:lang w:val="en-US"/>
        </w:rPr>
        <w:t>The literature is mature, international, and supported by systematic reviews, meta-analyses, empirical studies, and qualitative research.</w:t>
      </w:r>
    </w:p>
    <w:p>
      <w:pPr>
        <w:pStyle w:val="Heading 2"/>
        <w:keepLines w:val="1"/>
        <w:bidi w:val="0"/>
        <w:spacing w:before="200" w:line="276" w:lineRule="auto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4f81bd"/>
          <w:rtl w:val="0"/>
        </w:rPr>
      </w:pPr>
      <w:r>
        <w:rPr>
          <w:rFonts w:ascii="Times New Roman" w:hAnsi="Times New Roman"/>
          <w:sz w:val="24"/>
          <w:szCs w:val="24"/>
          <w:u w:color="4f81bd"/>
          <w:rtl w:val="0"/>
          <w:lang w:val="en-US"/>
        </w:rPr>
        <w:t>Dominant Theoretical Frameworks</w:t>
      </w:r>
    </w:p>
    <w:p>
      <w:pPr>
        <w:pStyle w:val="Body"/>
        <w:bidi w:val="0"/>
        <w:spacing w:after="200" w:line="276" w:lineRule="auto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 w:hAnsi="Times New Roman"/>
          <w:sz w:val="24"/>
          <w:szCs w:val="24"/>
          <w:u w:color="000000"/>
          <w:rtl w:val="0"/>
          <w:lang w:val="en-US"/>
        </w:rPr>
        <w:t>Emotional Labor Theory; Conservation of Resources Theory; Customer Injustice Framework; Organizational Support Theory; Psychological Safety.</w:t>
      </w:r>
    </w:p>
    <w:p>
      <w:pPr>
        <w:pStyle w:val="Heading 2"/>
        <w:keepLines w:val="1"/>
        <w:bidi w:val="0"/>
        <w:spacing w:before="200" w:line="276" w:lineRule="auto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4f81bd"/>
          <w:rtl w:val="0"/>
        </w:rPr>
      </w:pPr>
      <w:r>
        <w:rPr>
          <w:rFonts w:ascii="Times New Roman" w:hAnsi="Times New Roman"/>
          <w:sz w:val="24"/>
          <w:szCs w:val="24"/>
          <w:u w:color="4f81bd"/>
          <w:rtl w:val="0"/>
          <w:lang w:val="de-DE"/>
        </w:rPr>
        <w:t>Major Themes Identified</w:t>
      </w:r>
    </w:p>
    <w:p>
      <w:pPr>
        <w:pStyle w:val="Body"/>
        <w:bidi w:val="0"/>
        <w:spacing w:after="200" w:line="276" w:lineRule="auto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 w:hAnsi="Times New Roman"/>
          <w:sz w:val="24"/>
          <w:szCs w:val="24"/>
          <w:u w:color="000000"/>
          <w:rtl w:val="0"/>
          <w:lang w:val="en-US"/>
        </w:rPr>
        <w:t>Customer aggression, customer incivility, workplace mistreatment, emotional labor, emotional exhaustion, service sabotage, organizational support, psychological safety, recovery.</w:t>
      </w:r>
    </w:p>
    <w:p>
      <w:pPr>
        <w:pStyle w:val="Heading 2"/>
        <w:keepLines w:val="1"/>
        <w:bidi w:val="0"/>
        <w:spacing w:before="200" w:line="276" w:lineRule="auto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4f81bd"/>
          <w:rtl w:val="0"/>
        </w:rPr>
      </w:pPr>
      <w:r>
        <w:rPr>
          <w:rFonts w:ascii="Times New Roman" w:hAnsi="Times New Roman"/>
          <w:sz w:val="24"/>
          <w:szCs w:val="24"/>
          <w:u w:color="4f81bd"/>
          <w:rtl w:val="0"/>
          <w:lang w:val="en-US"/>
        </w:rPr>
        <w:t>Populations Represented</w:t>
      </w:r>
    </w:p>
    <w:p>
      <w:pPr>
        <w:pStyle w:val="Body"/>
        <w:bidi w:val="0"/>
        <w:spacing w:after="200" w:line="276" w:lineRule="auto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 w:hAnsi="Times New Roman"/>
          <w:sz w:val="24"/>
          <w:szCs w:val="24"/>
          <w:u w:color="000000"/>
          <w:rtl w:val="0"/>
          <w:lang w:val="en-US"/>
        </w:rPr>
        <w:t>Hotel, restaurant, frontline hospitality, food and beverage, tourism, luxury hospitality, and international hospitality employees.</w:t>
      </w:r>
    </w:p>
    <w:p>
      <w:pPr>
        <w:pStyle w:val="Heading 2"/>
        <w:keepLines w:val="1"/>
        <w:bidi w:val="0"/>
        <w:spacing w:before="200" w:line="276" w:lineRule="auto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4f81bd"/>
          <w:rtl w:val="0"/>
        </w:rPr>
      </w:pPr>
      <w:r>
        <w:rPr>
          <w:rFonts w:ascii="Times New Roman" w:hAnsi="Times New Roman"/>
          <w:sz w:val="24"/>
          <w:szCs w:val="24"/>
          <w:u w:color="4f81bd"/>
          <w:rtl w:val="0"/>
          <w:lang w:val="en-US"/>
        </w:rPr>
        <w:t>Geographic Representation</w:t>
      </w:r>
    </w:p>
    <w:p>
      <w:pPr>
        <w:pStyle w:val="Body"/>
        <w:bidi w:val="0"/>
        <w:spacing w:after="200" w:line="276" w:lineRule="auto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 w:hAnsi="Times New Roman"/>
          <w:sz w:val="24"/>
          <w:szCs w:val="24"/>
          <w:u w:color="000000"/>
          <w:rtl w:val="0"/>
          <w:lang w:val="en-US"/>
        </w:rPr>
        <w:t>Egypt, China, South Korea, India, Greece, and international hospitality organizations.</w:t>
      </w:r>
    </w:p>
    <w:p>
      <w:pPr>
        <w:pStyle w:val="Heading 2"/>
        <w:keepLines w:val="1"/>
        <w:bidi w:val="0"/>
        <w:spacing w:before="200" w:line="276" w:lineRule="auto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4f81bd"/>
          <w:rtl w:val="0"/>
        </w:rPr>
      </w:pPr>
      <w:r>
        <w:rPr>
          <w:rFonts w:ascii="Times New Roman" w:hAnsi="Times New Roman"/>
          <w:sz w:val="24"/>
          <w:szCs w:val="24"/>
          <w:u w:color="4f81bd"/>
          <w:rtl w:val="0"/>
          <w:lang w:val="en-US"/>
        </w:rPr>
        <w:t>Principal Findings</w:t>
      </w:r>
    </w:p>
    <w:p>
      <w:pPr>
        <w:pStyle w:val="Body"/>
        <w:bidi w:val="0"/>
        <w:spacing w:after="200" w:line="276" w:lineRule="auto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 w:hAnsi="Times New Roman"/>
          <w:sz w:val="24"/>
          <w:szCs w:val="24"/>
          <w:u w:color="000000"/>
          <w:rtl w:val="0"/>
          <w:lang w:val="en-US"/>
        </w:rPr>
        <w:t>Customer aggression commonly increases emotional labor demands and contributes directly to burnout. Supportive leadership and psychologically safe workplaces mitigate these effects.</w:t>
      </w:r>
    </w:p>
    <w:p>
      <w:pPr>
        <w:pStyle w:val="Heading 2"/>
        <w:keepLines w:val="1"/>
        <w:bidi w:val="0"/>
        <w:spacing w:before="200" w:line="276" w:lineRule="auto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4f81bd"/>
          <w:rtl w:val="0"/>
        </w:rPr>
      </w:pPr>
      <w:r>
        <w:rPr>
          <w:rFonts w:ascii="Times New Roman" w:hAnsi="Times New Roman"/>
          <w:sz w:val="24"/>
          <w:szCs w:val="24"/>
          <w:u w:color="4f81bd"/>
          <w:rtl w:val="0"/>
          <w:lang w:val="en-US"/>
        </w:rPr>
        <w:t>Research Gaps</w:t>
      </w:r>
    </w:p>
    <w:p>
      <w:pPr>
        <w:pStyle w:val="Body"/>
        <w:bidi w:val="0"/>
        <w:spacing w:after="200" w:line="276" w:lineRule="auto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 w:hAnsi="Times New Roman"/>
          <w:sz w:val="24"/>
          <w:szCs w:val="24"/>
          <w:u w:color="000000"/>
          <w:rtl w:val="0"/>
          <w:lang w:val="en-US"/>
        </w:rPr>
        <w:t>Need longitudinal research, sector-specific studies, and work linking customer aggression with PTSD, depression, anxiety, substance use, and suicide risk.</w:t>
      </w:r>
    </w:p>
    <w:p>
      <w:pPr>
        <w:pStyle w:val="Heading 2"/>
        <w:keepLines w:val="1"/>
        <w:bidi w:val="0"/>
        <w:spacing w:before="200" w:line="276" w:lineRule="auto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4f81bd"/>
          <w:rtl w:val="0"/>
        </w:rPr>
      </w:pPr>
      <w:r>
        <w:rPr>
          <w:rFonts w:ascii="Times New Roman" w:hAnsi="Times New Roman"/>
          <w:sz w:val="24"/>
          <w:szCs w:val="24"/>
          <w:u w:color="4f81bd"/>
          <w:rtl w:val="0"/>
          <w:lang w:val="en-US"/>
        </w:rPr>
        <w:t>Implications for HMHP</w:t>
      </w:r>
    </w:p>
    <w:p>
      <w:pPr>
        <w:pStyle w:val="Body"/>
        <w:bidi w:val="0"/>
        <w:spacing w:after="200" w:line="276" w:lineRule="auto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 w:hAnsi="Times New Roman"/>
          <w:sz w:val="24"/>
          <w:szCs w:val="24"/>
          <w:u w:color="000000"/>
          <w:rtl w:val="0"/>
          <w:lang w:val="en-US"/>
        </w:rPr>
        <w:t>Customer aggression is established as a primary external occupational stressor initiating emotional labor and contributing to burnout and broader psychological outcomes.</w:t>
      </w:r>
    </w:p>
    <w:p>
      <w:pPr>
        <w:pStyle w:val="Heading 2"/>
        <w:keepLines w:val="1"/>
        <w:bidi w:val="0"/>
        <w:spacing w:before="200" w:line="276" w:lineRule="auto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4f81bd"/>
          <w:rtl w:val="0"/>
        </w:rPr>
      </w:pPr>
      <w:r>
        <w:rPr>
          <w:rFonts w:ascii="Times New Roman" w:hAnsi="Times New Roman"/>
          <w:sz w:val="24"/>
          <w:szCs w:val="24"/>
          <w:u w:color="4f81bd"/>
          <w:rtl w:val="0"/>
          <w:lang w:val="en-US"/>
        </w:rPr>
        <w:t>Relationship to the HMHP Integrated Conceptual Framework</w:t>
      </w:r>
    </w:p>
    <w:p>
      <w:pPr>
        <w:pStyle w:val="Body"/>
        <w:bidi w:val="0"/>
        <w:spacing w:after="200" w:line="276" w:lineRule="auto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 w:hAnsi="Times New Roman"/>
          <w:sz w:val="24"/>
          <w:szCs w:val="24"/>
          <w:u w:color="000000"/>
          <w:rtl w:val="0"/>
          <w:lang w:val="en-US"/>
        </w:rPr>
        <w:t>Customer aggression occupies the environmental stressor component of the HMHP Integrated Conceptual Framework and drives emotional labor, burnout, and downstream mental health outcomes.</w:t>
      </w:r>
    </w:p>
    <w:p>
      <w:pPr>
        <w:pStyle w:val="Heading 2"/>
        <w:keepLines w:val="1"/>
        <w:bidi w:val="0"/>
        <w:spacing w:before="200" w:line="276" w:lineRule="auto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4f81bd"/>
          <w:rtl w:val="0"/>
        </w:rPr>
      </w:pPr>
      <w:r>
        <w:rPr>
          <w:rFonts w:ascii="Times New Roman" w:hAnsi="Times New Roman"/>
          <w:sz w:val="24"/>
          <w:szCs w:val="24"/>
          <w:u w:color="4f81bd"/>
          <w:rtl w:val="0"/>
          <w:lang w:val="en-US"/>
        </w:rPr>
        <w:t>Overall Assessment</w:t>
      </w:r>
    </w:p>
    <w:p>
      <w:pPr>
        <w:pStyle w:val="Body"/>
        <w:bidi w:val="0"/>
        <w:spacing w:after="200" w:line="276" w:lineRule="auto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 w:hAnsi="Times New Roman"/>
          <w:sz w:val="24"/>
          <w:szCs w:val="24"/>
          <w:u w:color="000000"/>
          <w:rtl w:val="0"/>
          <w:lang w:val="en-US"/>
        </w:rPr>
        <w:t>Very high confidence that customer aggression is a major occupational stressor within hospitality employee mental health.</w:t>
      </w:r>
    </w:p>
    <w:p>
      <w:pPr>
        <w:pStyle w:val="Heading 2"/>
        <w:keepLines w:val="1"/>
        <w:bidi w:val="0"/>
        <w:spacing w:before="200" w:line="276" w:lineRule="auto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4f81bd"/>
          <w:rtl w:val="0"/>
        </w:rPr>
      </w:pPr>
      <w:r>
        <w:rPr>
          <w:rFonts w:ascii="Times New Roman" w:hAnsi="Times New Roman"/>
          <w:sz w:val="24"/>
          <w:szCs w:val="24"/>
          <w:u w:color="4f81bd"/>
          <w:rtl w:val="0"/>
          <w:lang w:val="en-US"/>
        </w:rPr>
        <w:t xml:space="preserve">Tier I </w:t>
      </w:r>
      <w:r>
        <w:rPr>
          <w:rFonts w:ascii="Times New Roman" w:hAnsi="Times New Roman" w:hint="default"/>
          <w:sz w:val="24"/>
          <w:szCs w:val="24"/>
          <w:u w:color="4f81bd"/>
          <w:rtl w:val="0"/>
        </w:rPr>
        <w:t xml:space="preserve">– </w:t>
      </w:r>
      <w:r>
        <w:rPr>
          <w:rFonts w:ascii="Times New Roman" w:hAnsi="Times New Roman"/>
          <w:sz w:val="24"/>
          <w:szCs w:val="24"/>
          <w:u w:color="4f81bd"/>
          <w:rtl w:val="0"/>
          <w:lang w:val="en-US"/>
        </w:rPr>
        <w:t>Foundational Literature</w:t>
      </w:r>
    </w:p>
    <w:p>
      <w:pPr>
        <w:pStyle w:val="Default"/>
        <w:numPr>
          <w:ilvl w:val="0"/>
          <w:numId w:val="2"/>
        </w:numPr>
        <w:bidi w:val="0"/>
        <w:spacing w:before="0" w:after="200" w:line="276" w:lineRule="auto"/>
        <w:ind w:right="0"/>
        <w:jc w:val="left"/>
        <w:rPr>
          <w:rFonts w:ascii="Times New Roman" w:hAnsi="Times New Roman"/>
          <w:u w:color="000000"/>
          <w:rtl w:val="0"/>
          <w:lang w:val="en-US"/>
        </w:rPr>
      </w:pPr>
      <w:r>
        <w:rPr>
          <w:rFonts w:ascii="Times New Roman" w:hAnsi="Times New Roman"/>
          <w:u w:color="000000"/>
          <w:rtl w:val="0"/>
          <w:lang w:val="en-US"/>
        </w:rPr>
        <w:t>Agina et al. (2025)</w:t>
      </w:r>
    </w:p>
    <w:p>
      <w:pPr>
        <w:pStyle w:val="Default"/>
        <w:numPr>
          <w:ilvl w:val="0"/>
          <w:numId w:val="2"/>
        </w:numPr>
        <w:bidi w:val="0"/>
        <w:spacing w:before="0" w:after="200" w:line="276" w:lineRule="auto"/>
        <w:ind w:right="0"/>
        <w:jc w:val="left"/>
        <w:rPr>
          <w:rFonts w:ascii="Times New Roman" w:hAnsi="Times New Roman"/>
          <w:u w:color="000000"/>
          <w:rtl w:val="0"/>
          <w:lang w:val="en-US"/>
        </w:rPr>
      </w:pPr>
      <w:r>
        <w:rPr>
          <w:rFonts w:ascii="Times New Roman" w:hAnsi="Times New Roman"/>
          <w:u w:color="000000"/>
          <w:rtl w:val="0"/>
          <w:lang w:val="en-US"/>
        </w:rPr>
        <w:t>Cheng &amp; Jiang (2026)</w:t>
      </w:r>
    </w:p>
    <w:p>
      <w:pPr>
        <w:pStyle w:val="Default"/>
        <w:numPr>
          <w:ilvl w:val="0"/>
          <w:numId w:val="2"/>
        </w:numPr>
        <w:bidi w:val="0"/>
        <w:spacing w:before="0" w:after="200" w:line="276" w:lineRule="auto"/>
        <w:ind w:right="0"/>
        <w:jc w:val="left"/>
        <w:rPr>
          <w:rFonts w:ascii="Times New Roman" w:hAnsi="Times New Roman"/>
          <w:u w:color="000000"/>
          <w:rtl w:val="0"/>
          <w:lang w:val="en-US"/>
        </w:rPr>
      </w:pPr>
      <w:r>
        <w:rPr>
          <w:rFonts w:ascii="Times New Roman" w:hAnsi="Times New Roman"/>
          <w:u w:color="000000"/>
          <w:rtl w:val="0"/>
          <w:lang w:val="en-US"/>
        </w:rPr>
        <w:t>Emmanuel &amp; Das (2024)</w:t>
      </w:r>
    </w:p>
    <w:p>
      <w:pPr>
        <w:pStyle w:val="Default"/>
        <w:numPr>
          <w:ilvl w:val="0"/>
          <w:numId w:val="2"/>
        </w:numPr>
        <w:bidi w:val="0"/>
        <w:spacing w:before="0" w:after="200" w:line="276" w:lineRule="auto"/>
        <w:ind w:right="0"/>
        <w:jc w:val="left"/>
        <w:rPr>
          <w:rFonts w:ascii="Times New Roman" w:hAnsi="Times New Roman"/>
          <w:u w:color="000000"/>
          <w:rtl w:val="0"/>
          <w:lang w:val="en-US"/>
        </w:rPr>
      </w:pPr>
      <w:r>
        <w:rPr>
          <w:rFonts w:ascii="Times New Roman" w:hAnsi="Times New Roman"/>
          <w:u w:color="000000"/>
          <w:rtl w:val="0"/>
          <w:lang w:val="en-US"/>
        </w:rPr>
        <w:t>Li et al. (2026)</w:t>
      </w:r>
    </w:p>
    <w:p>
      <w:pPr>
        <w:pStyle w:val="Default"/>
        <w:numPr>
          <w:ilvl w:val="0"/>
          <w:numId w:val="2"/>
        </w:numPr>
        <w:bidi w:val="0"/>
        <w:spacing w:before="0" w:after="200" w:line="276" w:lineRule="auto"/>
        <w:ind w:right="0"/>
        <w:jc w:val="left"/>
        <w:rPr>
          <w:rFonts w:ascii="Times New Roman" w:hAnsi="Times New Roman"/>
          <w:u w:color="000000"/>
          <w:rtl w:val="0"/>
          <w:lang w:val="en-US"/>
        </w:rPr>
      </w:pPr>
      <w:r>
        <w:rPr>
          <w:rFonts w:ascii="Times New Roman" w:hAnsi="Times New Roman"/>
          <w:u w:color="000000"/>
          <w:rtl w:val="0"/>
          <w:lang w:val="en-US"/>
        </w:rPr>
        <w:t>Rout et al. (2025)</w:t>
      </w:r>
    </w:p>
    <w:p>
      <w:pPr>
        <w:pStyle w:val="Default"/>
        <w:numPr>
          <w:ilvl w:val="0"/>
          <w:numId w:val="2"/>
        </w:numPr>
        <w:bidi w:val="0"/>
        <w:spacing w:before="0" w:after="200" w:line="276" w:lineRule="auto"/>
        <w:ind w:right="0"/>
        <w:jc w:val="left"/>
        <w:rPr>
          <w:rFonts w:ascii="Times New Roman" w:hAnsi="Times New Roman"/>
          <w:u w:color="000000"/>
          <w:rtl w:val="0"/>
          <w:lang w:val="en-US"/>
        </w:rPr>
      </w:pPr>
      <w:r>
        <w:rPr>
          <w:rFonts w:ascii="Times New Roman" w:hAnsi="Times New Roman"/>
          <w:u w:color="000000"/>
          <w:rtl w:val="0"/>
          <w:lang w:val="en-US"/>
        </w:rPr>
        <w:t>Zhang &amp; Shum (2025)</w:t>
      </w:r>
    </w:p>
    <w:p>
      <w:pPr>
        <w:pStyle w:val="Heading 2"/>
        <w:keepLines w:val="1"/>
        <w:bidi w:val="0"/>
        <w:spacing w:before="200" w:line="276" w:lineRule="auto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4f81bd"/>
          <w:rtl w:val="0"/>
        </w:rPr>
      </w:pPr>
      <w:r>
        <w:rPr>
          <w:rFonts w:ascii="Times New Roman" w:hAnsi="Times New Roman"/>
          <w:sz w:val="24"/>
          <w:szCs w:val="24"/>
          <w:u w:color="4f81bd"/>
          <w:rtl w:val="0"/>
          <w:lang w:val="de-DE"/>
        </w:rPr>
        <w:t xml:space="preserve">Tier II </w:t>
      </w:r>
      <w:r>
        <w:rPr>
          <w:rFonts w:ascii="Times New Roman" w:hAnsi="Times New Roman" w:hint="default"/>
          <w:sz w:val="24"/>
          <w:szCs w:val="24"/>
          <w:u w:color="4f81bd"/>
          <w:rtl w:val="0"/>
        </w:rPr>
        <w:t xml:space="preserve">– </w:t>
      </w:r>
      <w:r>
        <w:rPr>
          <w:rFonts w:ascii="Times New Roman" w:hAnsi="Times New Roman"/>
          <w:sz w:val="24"/>
          <w:szCs w:val="24"/>
          <w:u w:color="4f81bd"/>
          <w:rtl w:val="0"/>
          <w:lang w:val="en-US"/>
        </w:rPr>
        <w:t>Supporting Literature</w:t>
      </w:r>
    </w:p>
    <w:p>
      <w:pPr>
        <w:pStyle w:val="Default"/>
        <w:numPr>
          <w:ilvl w:val="0"/>
          <w:numId w:val="2"/>
        </w:numPr>
        <w:bidi w:val="0"/>
        <w:spacing w:before="0" w:after="200" w:line="276" w:lineRule="auto"/>
        <w:ind w:right="0"/>
        <w:jc w:val="left"/>
        <w:rPr>
          <w:rFonts w:ascii="Times New Roman" w:hAnsi="Times New Roman"/>
          <w:u w:color="000000"/>
          <w:rtl w:val="0"/>
          <w:lang w:val="en-US"/>
        </w:rPr>
      </w:pPr>
      <w:r>
        <w:rPr>
          <w:rFonts w:ascii="Times New Roman" w:hAnsi="Times New Roman"/>
          <w:u w:color="000000"/>
          <w:rtl w:val="0"/>
          <w:lang w:val="en-US"/>
        </w:rPr>
        <w:t>Golossenko et al. (2025)</w:t>
      </w:r>
    </w:p>
    <w:p>
      <w:pPr>
        <w:pStyle w:val="Default"/>
        <w:numPr>
          <w:ilvl w:val="0"/>
          <w:numId w:val="2"/>
        </w:numPr>
        <w:bidi w:val="0"/>
        <w:spacing w:before="0" w:after="200" w:line="276" w:lineRule="auto"/>
        <w:ind w:right="0"/>
        <w:jc w:val="left"/>
        <w:rPr>
          <w:rFonts w:ascii="Times New Roman" w:hAnsi="Times New Roman"/>
          <w:u w:color="000000"/>
          <w:rtl w:val="0"/>
          <w:lang w:val="en-US"/>
        </w:rPr>
      </w:pPr>
      <w:r>
        <w:rPr>
          <w:rFonts w:ascii="Times New Roman" w:hAnsi="Times New Roman"/>
          <w:u w:color="000000"/>
          <w:rtl w:val="0"/>
          <w:lang w:val="en-US"/>
        </w:rPr>
        <w:t>Hyo &amp; Yoon (2020)</w:t>
      </w:r>
    </w:p>
    <w:p>
      <w:pPr>
        <w:pStyle w:val="Default"/>
        <w:numPr>
          <w:ilvl w:val="0"/>
          <w:numId w:val="2"/>
        </w:numPr>
        <w:bidi w:val="0"/>
        <w:spacing w:before="0" w:after="200" w:line="276" w:lineRule="auto"/>
        <w:ind w:right="0"/>
        <w:jc w:val="left"/>
        <w:rPr>
          <w:rFonts w:ascii="Times New Roman" w:hAnsi="Times New Roman"/>
          <w:u w:color="000000"/>
          <w:rtl w:val="0"/>
          <w:lang w:val="en-US"/>
        </w:rPr>
      </w:pPr>
      <w:r>
        <w:rPr>
          <w:rFonts w:ascii="Times New Roman" w:hAnsi="Times New Roman"/>
          <w:u w:color="000000"/>
          <w:rtl w:val="0"/>
          <w:lang w:val="en-US"/>
        </w:rPr>
        <w:t>Jihee, Hyeyoon, &amp; Wong (2026)</w:t>
      </w:r>
    </w:p>
    <w:p>
      <w:pPr>
        <w:pStyle w:val="Default"/>
        <w:numPr>
          <w:ilvl w:val="0"/>
          <w:numId w:val="2"/>
        </w:numPr>
        <w:bidi w:val="0"/>
        <w:spacing w:before="0" w:after="200" w:line="276" w:lineRule="auto"/>
        <w:ind w:right="0"/>
        <w:jc w:val="left"/>
        <w:rPr>
          <w:rFonts w:ascii="Times New Roman" w:hAnsi="Times New Roman"/>
          <w:u w:color="000000"/>
          <w:rtl w:val="0"/>
          <w:lang w:val="en-US"/>
        </w:rPr>
      </w:pPr>
      <w:r>
        <w:rPr>
          <w:rFonts w:ascii="Times New Roman" w:hAnsi="Times New Roman"/>
          <w:u w:color="000000"/>
          <w:rtl w:val="0"/>
          <w:lang w:val="en-US"/>
        </w:rPr>
        <w:t>Wei (2026)</w:t>
      </w:r>
    </w:p>
    <w:p>
      <w:pPr>
        <w:pStyle w:val="Default"/>
        <w:numPr>
          <w:ilvl w:val="0"/>
          <w:numId w:val="2"/>
        </w:numPr>
        <w:bidi w:val="0"/>
        <w:spacing w:before="0" w:after="200" w:line="276" w:lineRule="auto"/>
        <w:ind w:right="0"/>
        <w:jc w:val="left"/>
        <w:rPr>
          <w:rFonts w:ascii="Times New Roman" w:hAnsi="Times New Roman"/>
          <w:u w:color="000000"/>
          <w:rtl w:val="0"/>
          <w:lang w:val="en-US"/>
        </w:rPr>
      </w:pPr>
      <w:r>
        <w:rPr>
          <w:rFonts w:ascii="Times New Roman" w:hAnsi="Times New Roman"/>
          <w:u w:color="000000"/>
          <w:rtl w:val="0"/>
          <w:lang w:val="en-US"/>
        </w:rPr>
        <w:t>Yingkang &amp; Tang (2025)</w:t>
      </w:r>
    </w:p>
    <w:p>
      <w:pPr>
        <w:pStyle w:val="Heading 2"/>
        <w:keepLines w:val="1"/>
        <w:bidi w:val="0"/>
        <w:spacing w:before="200" w:line="276" w:lineRule="auto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4f81bd"/>
          <w:rtl w:val="0"/>
        </w:rPr>
      </w:pPr>
      <w:r>
        <w:rPr>
          <w:rFonts w:ascii="Times New Roman" w:hAnsi="Times New Roman"/>
          <w:sz w:val="24"/>
          <w:szCs w:val="24"/>
          <w:u w:color="4f81bd"/>
          <w:rtl w:val="0"/>
          <w:lang w:val="en-US"/>
        </w:rPr>
        <w:t>Investigator Notes</w:t>
      </w:r>
    </w:p>
    <w:p>
      <w:pPr>
        <w:pStyle w:val="Body"/>
        <w:bidi w:val="0"/>
        <w:spacing w:after="200" w:line="276" w:lineRule="auto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 w:hAnsi="Times New Roman"/>
          <w:sz w:val="24"/>
          <w:szCs w:val="24"/>
          <w:u w:color="000000"/>
          <w:rtl w:val="0"/>
          <w:lang w:val="en-US"/>
        </w:rPr>
        <w:t>Customer aggression is a primary external occupational stressor.</w:t>
      </w:r>
      <w:r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  <w:br w:type="textWrapping"/>
      </w:r>
      <w:r>
        <w:rPr>
          <w:rFonts w:ascii="Times New Roman" w:hAnsi="Times New Roman"/>
          <w:sz w:val="24"/>
          <w:szCs w:val="24"/>
          <w:u w:color="000000"/>
          <w:rtl w:val="0"/>
          <w:lang w:val="en-US"/>
        </w:rPr>
        <w:t>Repeated exposure accelerates emotional labor and burnout.</w:t>
      </w:r>
      <w:r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  <w:br w:type="textWrapping"/>
      </w:r>
      <w:r>
        <w:rPr>
          <w:rFonts w:ascii="Times New Roman" w:hAnsi="Times New Roman"/>
          <w:sz w:val="24"/>
          <w:szCs w:val="24"/>
          <w:u w:color="000000"/>
          <w:rtl w:val="0"/>
          <w:lang w:val="en-US"/>
        </w:rPr>
        <w:t>Organizational support and psychological safety reduce harm.</w:t>
      </w:r>
      <w:r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  <w:br w:type="textWrapping"/>
      </w:r>
      <w:r>
        <w:rPr>
          <w:rFonts w:ascii="Times New Roman" w:hAnsi="Times New Roman"/>
          <w:sz w:val="24"/>
          <w:szCs w:val="24"/>
          <w:u w:color="000000"/>
          <w:rtl w:val="0"/>
          <w:lang w:val="en-US"/>
        </w:rPr>
        <w:t>This dossier completes the third foundational component of the HMHP Integrated Conceptual Framework.</w:t>
      </w:r>
    </w:p>
    <w:p>
      <w:pPr>
        <w:pStyle w:val="Heading 2"/>
        <w:keepLines w:val="1"/>
        <w:bidi w:val="0"/>
        <w:spacing w:before="200" w:line="276" w:lineRule="auto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4f81bd"/>
          <w:rtl w:val="0"/>
        </w:rPr>
      </w:pPr>
      <w:r>
        <w:rPr>
          <w:rFonts w:ascii="Times New Roman" w:hAnsi="Times New Roman"/>
          <w:sz w:val="24"/>
          <w:szCs w:val="24"/>
          <w:u w:color="4f81bd"/>
          <w:rtl w:val="0"/>
          <w:lang w:val="en-US"/>
        </w:rPr>
        <w:t>Summary</w:t>
      </w:r>
    </w:p>
    <w:p>
      <w:pPr>
        <w:pStyle w:val="Body"/>
        <w:bidi w:val="0"/>
        <w:spacing w:after="200" w:line="276" w:lineRule="auto"/>
        <w:ind w:left="0" w:right="0" w:firstLine="0"/>
        <w:jc w:val="left"/>
        <w:rPr>
          <w:rtl w:val="0"/>
        </w:rPr>
      </w:pPr>
      <w:r>
        <w:rPr>
          <w:rFonts w:ascii="Times New Roman" w:hAnsi="Times New Roman"/>
          <w:sz w:val="24"/>
          <w:szCs w:val="24"/>
          <w:u w:color="000000"/>
          <w:rtl w:val="0"/>
          <w:lang w:val="en-US"/>
        </w:rPr>
        <w:t>Evidence Dossier S-003 establishes customer aggression, incivility, and workplace mistreatment as major occupational stressors within hospitality employment.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bullet"/>
      <w:suff w:val="tab"/>
      <w:lvlText w:val="·"/>
      <w:lvlJc w:val="left"/>
      <w:pPr>
        <w:ind w:left="36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·"/>
      <w:lvlJc w:val="left"/>
      <w:pPr>
        <w:ind w:left="393" w:hanging="393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·"/>
      <w:lvlJc w:val="left"/>
      <w:pPr>
        <w:ind w:left="393" w:hanging="393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393" w:hanging="393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·"/>
      <w:lvlJc w:val="left"/>
      <w:pPr>
        <w:ind w:left="393" w:hanging="393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·"/>
      <w:lvlJc w:val="left"/>
      <w:pPr>
        <w:ind w:left="393" w:hanging="393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393" w:hanging="393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·"/>
      <w:lvlJc w:val="left"/>
      <w:pPr>
        <w:ind w:left="393" w:hanging="393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·"/>
      <w:lvlJc w:val="left"/>
      <w:pPr>
        <w:ind w:left="393" w:hanging="393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ing">
    <w:name w:val="Heading"/>
    <w:next w:val="Body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0"/>
    </w:pPr>
    <w:rPr>
      <w:rFonts w:ascii="Helvetica Neue" w:cs="Arial Unicode MS" w:hAnsi="Helvetica Neue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ing 2">
    <w:name w:val="Heading 2"/>
    <w:next w:val="Body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1"/>
    </w:pPr>
    <w:rPr>
      <w:rFonts w:ascii="Helvetica Neue" w:cs="Arial Unicode MS" w:hAnsi="Helvetica Neue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2"/>
      <w:szCs w:val="3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ing 3">
    <w:name w:val="Heading 3"/>
    <w:next w:val="Body"/>
    <w:pPr>
      <w:keepNext w:val="1"/>
      <w:keepLines w:val="0"/>
      <w:pageBreakBefore w:val="0"/>
      <w:widowControl w:val="1"/>
      <w:pBdr>
        <w:top w:val="single" w:color="515151" w:sz="4" w:space="3" w:shadow="0" w:frame="0"/>
        <w:left w:val="nil"/>
        <w:bottom w:val="nil"/>
        <w:right w:val="nil"/>
      </w:pBdr>
      <w:shd w:val="clear" w:color="auto" w:fill="auto"/>
      <w:suppressAutoHyphens w:val="0"/>
      <w:bidi w:val="0"/>
      <w:spacing w:before="360" w:after="40" w:line="288" w:lineRule="auto"/>
      <w:ind w:left="0" w:right="0" w:firstLine="0"/>
      <w:jc w:val="left"/>
      <w:outlineLvl w:val="0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5"/>
      <w:kern w:val="0"/>
      <w:position w:val="0"/>
      <w:sz w:val="28"/>
      <w:szCs w:val="28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