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HMHP-101 Phase I: Foundation &amp; Literature Review</w:t>
      </w: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rPr>
        <w:t>Evidence Dossier S-002</w:t>
      </w:r>
    </w:p>
    <w:p>
      <w:pPr>
        <w:pStyle w:val="Default"/>
        <w:suppressAutoHyphens w:val="1"/>
        <w:spacing w:before="0" w:after="299" w:line="240" w:lineRule="auto"/>
        <w:rPr>
          <w:rFonts w:ascii="Times New Roman" w:cs="Times New Roman" w:hAnsi="Times New Roman" w:eastAsia="Times New Roman"/>
          <w:b w:val="1"/>
          <w:bCs w:val="1"/>
        </w:rPr>
      </w:pPr>
      <w:r>
        <w:rPr>
          <w:rFonts w:ascii="Times New Roman" w:hAnsi="Times New Roman"/>
          <w:b w:val="1"/>
          <w:bCs w:val="1"/>
          <w:rtl w:val="0"/>
          <w:lang w:val="en-US"/>
        </w:rPr>
        <w:t>Emotional Labor, Emotional Regulation, and Surface Acting in Hospitality Employees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b w:val="1"/>
          <w:bCs w:val="1"/>
          <w:rtl w:val="0"/>
          <w:lang w:val="en-US"/>
        </w:rPr>
        <w:t>Project:</w:t>
      </w:r>
      <w:r>
        <w:rPr>
          <w:rFonts w:ascii="Times New Roman" w:hAnsi="Times New Roman"/>
          <w:rtl w:val="0"/>
          <w:lang w:val="en-US"/>
        </w:rPr>
        <w:t xml:space="preserve"> Hospitality Mental Health Project (HMHP)</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b w:val="1"/>
          <w:bCs w:val="1"/>
          <w:rtl w:val="0"/>
          <w:lang w:val="en-US"/>
        </w:rPr>
        <w:t>Phase:</w:t>
      </w:r>
      <w:r>
        <w:rPr>
          <w:rFonts w:ascii="Times New Roman" w:hAnsi="Times New Roman"/>
          <w:rtl w:val="0"/>
        </w:rPr>
        <w:t xml:space="preserve"> HMHP-101 </w:t>
      </w:r>
      <w:r>
        <w:rPr>
          <w:rFonts w:ascii="Times New Roman" w:hAnsi="Times New Roman" w:hint="default"/>
          <w:rtl w:val="0"/>
        </w:rPr>
        <w:t xml:space="preserve">– </w:t>
      </w:r>
      <w:r>
        <w:rPr>
          <w:rFonts w:ascii="Times New Roman" w:hAnsi="Times New Roman"/>
          <w:rtl w:val="0"/>
          <w:lang w:val="en-US"/>
        </w:rPr>
        <w:t>Foundation &amp; Literature Review</w:t>
      </w:r>
    </w:p>
    <w:p>
      <w:pPr>
        <w:pStyle w:val="Default"/>
        <w:suppressAutoHyphens w:val="1"/>
        <w:spacing w:before="0" w:after="240" w:line="240" w:lineRule="auto"/>
        <w:rPr>
          <w:rFonts w:ascii="Times New Roman" w:cs="Times New Roman" w:hAnsi="Times New Roman" w:eastAsia="Times New Roman"/>
          <w:b w:val="0"/>
          <w:bCs w:val="0"/>
        </w:rPr>
      </w:pPr>
      <w:r>
        <w:rPr>
          <w:rFonts w:ascii="Times New Roman" w:hAnsi="Times New Roman"/>
          <w:b w:val="1"/>
          <w:bCs w:val="1"/>
          <w:rtl w:val="0"/>
          <w:lang w:val="fr-FR"/>
        </w:rPr>
        <w:t>Evidence Dossier:</w:t>
      </w:r>
      <w:r>
        <w:rPr>
          <w:rFonts w:ascii="Times New Roman" w:hAnsi="Times New Roman"/>
          <w:b w:val="0"/>
          <w:bCs w:val="0"/>
          <w:rtl w:val="0"/>
        </w:rPr>
        <w:t xml:space="preserve"> S-002</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b w:val="1"/>
          <w:bCs w:val="1"/>
          <w:rtl w:val="0"/>
          <w:lang w:val="nl-NL"/>
        </w:rPr>
        <w:t>Status:</w:t>
      </w:r>
      <w:r>
        <w:rPr>
          <w:rFonts w:ascii="Times New Roman" w:hAnsi="Times New Roman"/>
          <w:rtl w:val="0"/>
          <w:lang w:val="en-US"/>
        </w:rPr>
        <w:t xml:space="preserve"> Complete</w:t>
      </w:r>
    </w:p>
    <w:p>
      <w:pPr>
        <w:pStyle w:val="Default"/>
        <w:suppressAutoHyphens w:val="1"/>
        <w:spacing w:before="0" w:after="240" w:line="240" w:lineRule="auto"/>
        <w:rPr>
          <w:rFonts w:ascii="Times New Roman" w:cs="Times New Roman" w:hAnsi="Times New Roman" w:eastAsia="Times New Roman"/>
          <w:b w:val="0"/>
          <w:bCs w:val="0"/>
        </w:rPr>
      </w:pPr>
      <w:r>
        <w:rPr>
          <w:rFonts w:ascii="Times New Roman" w:hAnsi="Times New Roman"/>
          <w:b w:val="1"/>
          <w:bCs w:val="1"/>
          <w:rtl w:val="0"/>
          <w:lang w:val="de-DE"/>
        </w:rPr>
        <w:t>Version:</w:t>
      </w:r>
      <w:r>
        <w:rPr>
          <w:rFonts w:ascii="Times New Roman" w:hAnsi="Times New Roman"/>
          <w:b w:val="0"/>
          <w:bCs w:val="0"/>
          <w:rtl w:val="0"/>
        </w:rPr>
        <w:t xml:space="preserve"> 2.0</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b w:val="1"/>
          <w:bCs w:val="1"/>
          <w:rtl w:val="0"/>
          <w:lang w:val="de-DE"/>
        </w:rPr>
        <w:t>Date:</w:t>
      </w:r>
      <w:r>
        <w:rPr>
          <w:rFonts w:ascii="Times New Roman" w:hAnsi="Times New Roman"/>
          <w:rtl w:val="0"/>
          <w:lang w:val="en-US"/>
        </w:rPr>
        <w:t xml:space="preserve"> June 2026</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Purpose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purpose of Evidence Dossier S-002 is to examine the current body of peer-reviewed literature concerning emotional labor, emotional regulation, and surface acting among hospitality employees. Particular attention is given to emotional labor strategies, customer mistreatment, emotional contagion, organizational display rules, leadership, psychological empowerment, recovery experiences, and organizational outcomes associated with emotional labor.</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Building upon the findings of Evidence Dossier S-001, this review investigates the primary psychological mechanism through which hospitality employees experience occupational stress. Emotional labor represents one of the defining characteristics of hospitality work and provides the principal explanatory pathway connecting workplace interactions with burnout, psychological distress, and broader mental health outcomes.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Research Objective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To identify, evaluate, and synthesize peer-reviewed literature examining emotional labor, emotional regulation, and emotional display requirements among hospitality employees while identifying dominant theoretical frameworks, principal findings, methodological trends, research gaps, and implications for future hospitality mental health research.</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Search Strategy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Multiple systematic searches were conducted using the Bellevue University Library (ProQuest One Academic). Searches emphasized peer-reviewed hospitality literature examining emotional labor, emotional regulation, emotional exhaustion, customer interactions, and organizational display rules.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Representative search terms included:</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AND emotional labor</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employee* AND emotional labor</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hotel employee* AND emotional labor</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restaurant employee* AND emotional labor</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tourism employee* AND emotional regulation</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surface acting AND hospitality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deep acting AND hospitality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Citation chaining and review of highly cited publications were used to identify additional foundational studies concerning emotional labor within hospitality settings.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s-ES_tradnl"/>
        </w:rPr>
        <w:t>Inclusion Criteria</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Studies were included when they: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Examined hospitality or tourism employees.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Investigated emotional labor, emotional regulation, or emotional display strategies.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Reported psychological, behavioral, or organizational outcomes associated with emotional labor.</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Were peer-reviewed empirical investigations, systematic reviews, qualitative studies, meta-analyses, or theoretical papers.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Were published in English.</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fr-FR"/>
        </w:rPr>
        <w:t>Exclusion Criteria</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Studies were excluded when they: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Focused exclusively on non-hospitality occupations.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Examined customer emotions without employee psychological outcomes.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Were editorials, opinion papers, conference abstracts, or non-peer-reviewed publications.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Focused exclusively on hospitality students without occupational relevance.</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Evidence Summary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Dossier S-002 demonstrates that emotional labor represents one of the central theoretical constructs within hospitality psychology. Hospitality employees are routinely expected to regulate, suppress, or modify emotional expression while interacting with customers, coworkers, and supervisors in accordance with organizational display rules.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literature consistently identifies three primary emotional labor strategies: surface acting, deep acting, and authentic emotional expression. Among these, surface acting is most consistently associated with emotional exhaustion, burnout, diminished psychological well-being, and increased turnover intentions. Deep acting generally produces more adaptive outcomes by aligning internal emotional experiences with required emotional displays.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Collectively, the evidence demonstrates that emotional labor functions as the principal psychological mechanism through which occupational demands become psychological strain, ultimately contributing to burnout and broader mental health outcomes.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State of the Literature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Research concerning emotional labor among hospitality employees is highly developed and internationally representative. Emotional labor has been examined across hotels, restaurants, tourism organizations, luxury hospitality settings, food service operations, and customer-facing occupations throughout the hospitality industry.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literature is supported by systematic reviews, theoretical investigations, qualitative research, and numerous empirical studies. Emotional labor has become one of the most frequently cited explanatory mechanisms within hospitality psychology and is consistently integrated with research examining burnout, employee engagement, leadership, organizational commitment, customer mistreatment, and turnover intentions.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Despite this maturity, comparatively little research has examined emotional labor in relation to clinical mental health conditions, cumulative occupational exposure, or long-term psychological outcomes.</w:t>
      </w:r>
    </w:p>
    <w:p>
      <w:pPr>
        <w:pStyle w:val="Body"/>
        <w:rPr>
          <w:rFonts w:ascii="Times New Roman" w:cs="Times New Roman" w:hAnsi="Times New Roman" w:eastAsia="Times New Roman"/>
          <w:sz w:val="24"/>
          <w:szCs w:val="24"/>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Dominant Theoretical Frameworks</w:t>
      </w: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Emotional Labor Theory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Emotional Labor Theory represents the dominant conceptual framework within this body of literature. Employees regulate emotional expression to satisfy organizational display rules while simultaneously managing customer expectations and interpersonal interactions.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Emotional Regulation Theory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Hospitality employees continuously regulate emotional responses through strategies including surface acting, deep acting, and authentic emotional expression. These regulatory processes influence both psychological well-being and occupational functioning.</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it-IT"/>
        </w:rPr>
        <w:t>Emotional Contagion Theory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Employee emotions influence</w:t>
      </w:r>
      <w:r>
        <w:rPr>
          <w:rFonts w:ascii="Times New Roman" w:hAnsi="Times New Roman" w:hint="default"/>
          <w:rtl w:val="0"/>
          <w:lang w:val="en-US"/>
        </w:rPr>
        <w:t>—</w:t>
      </w:r>
      <w:r>
        <w:rPr>
          <w:rFonts w:ascii="Times New Roman" w:hAnsi="Times New Roman"/>
          <w:rtl w:val="0"/>
          <w:lang w:val="en-US"/>
        </w:rPr>
        <w:t>and are influenced by</w:t>
      </w:r>
      <w:r>
        <w:rPr>
          <w:rFonts w:ascii="Times New Roman" w:hAnsi="Times New Roman" w:hint="default"/>
          <w:rtl w:val="0"/>
          <w:lang w:val="en-US"/>
        </w:rPr>
        <w:t>—</w:t>
      </w:r>
      <w:r>
        <w:rPr>
          <w:rFonts w:ascii="Times New Roman" w:hAnsi="Times New Roman"/>
          <w:rtl w:val="0"/>
          <w:lang w:val="en-US"/>
        </w:rPr>
        <w:t>the emotional states of coworkers, supervisors, and customers. Emotional contagion contributes to workplace climate while shaping employee resilience, engagement, and service quality.</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Organizational Support Theory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Supportive organizational environments reduce the negative psychological consequences of emotional labor by providing employees with emotional resources, supervisory support, and psychologically healthy workplace cultures.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Recovery and Work Engagement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Recovery experiences following emotionally demanding work improve resilience, reduce emotional exhaustion, and strengthen long-term employee engagement.</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de-DE"/>
        </w:rPr>
        <w:t>Major Themes Identified</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Several themes consistently emerged throughout the literature.</w:t>
      </w:r>
    </w:p>
    <w:p>
      <w:pPr>
        <w:pStyle w:val="Default"/>
        <w:numPr>
          <w:ilvl w:val="0"/>
          <w:numId w:val="2"/>
        </w:numPr>
        <w:suppressAutoHyphens w:val="1"/>
        <w:spacing w:before="0" w:line="240" w:lineRule="auto"/>
        <w:jc w:val="left"/>
        <w:rPr>
          <w:rFonts w:ascii="Times New Roman" w:hAnsi="Times New Roman"/>
          <w:lang w:val="fr-FR"/>
        </w:rPr>
      </w:pPr>
      <w:r>
        <w:rPr>
          <w:rFonts w:ascii="Times New Roman" w:hAnsi="Times New Roman"/>
          <w:rtl w:val="0"/>
          <w:lang w:val="fr-FR"/>
        </w:rPr>
        <w:t>Emotional labor</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Surface acting</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Deep acting</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Emotional regulation</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Authentic emotional expression</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Emotional exhaustion</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Customer mistreatment</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Customer injustice</w:t>
      </w:r>
    </w:p>
    <w:p>
      <w:pPr>
        <w:pStyle w:val="Default"/>
        <w:numPr>
          <w:ilvl w:val="0"/>
          <w:numId w:val="2"/>
        </w:numPr>
        <w:suppressAutoHyphens w:val="1"/>
        <w:spacing w:before="0" w:line="240" w:lineRule="auto"/>
        <w:jc w:val="left"/>
        <w:rPr>
          <w:rFonts w:ascii="Times New Roman" w:hAnsi="Times New Roman"/>
          <w:lang w:val="it-IT"/>
        </w:rPr>
      </w:pPr>
      <w:r>
        <w:rPr>
          <w:rFonts w:ascii="Times New Roman" w:hAnsi="Times New Roman"/>
          <w:rtl w:val="0"/>
          <w:lang w:val="it-IT"/>
        </w:rPr>
        <w:t>Emotional contagion</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Organizational display rules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Psychological empowerment</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Organizational support</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Leadership</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Recovery experiences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Employee engagement</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Organizational commitment</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Employee retention</w:t>
      </w:r>
    </w:p>
    <w:p>
      <w:pPr>
        <w:pStyle w:val="Default"/>
        <w:numPr>
          <w:ilvl w:val="0"/>
          <w:numId w:val="2"/>
        </w:numPr>
        <w:suppressAutoHyphens w:val="1"/>
        <w:spacing w:before="0" w:line="240" w:lineRule="auto"/>
        <w:jc w:val="left"/>
        <w:rPr>
          <w:rFonts w:ascii="Times New Roman" w:hAnsi="Times New Roman"/>
          <w:lang w:val="fr-FR"/>
        </w:rPr>
      </w:pPr>
      <w:r>
        <w:rPr>
          <w:rFonts w:ascii="Times New Roman" w:hAnsi="Times New Roman"/>
          <w:rtl w:val="0"/>
          <w:lang w:val="fr-FR"/>
        </w:rPr>
        <w:t>Quiet quitting</w:t>
      </w:r>
    </w:p>
    <w:p>
      <w:pPr>
        <w:pStyle w:val="Default"/>
        <w:numPr>
          <w:ilvl w:val="0"/>
          <w:numId w:val="2"/>
        </w:numPr>
        <w:suppressAutoHyphens w:val="1"/>
        <w:spacing w:before="0" w:line="240" w:lineRule="auto"/>
        <w:jc w:val="left"/>
        <w:rPr>
          <w:rFonts w:ascii="Times New Roman" w:hAnsi="Times New Roman"/>
          <w:lang w:val="fr-FR"/>
        </w:rPr>
      </w:pPr>
      <w:r>
        <w:rPr>
          <w:rFonts w:ascii="Times New Roman" w:hAnsi="Times New Roman"/>
          <w:rtl w:val="0"/>
          <w:lang w:val="fr-FR"/>
        </w:rPr>
        <w:t>Service quality</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Populations Represented</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literature reviewed in S-002 represents a broad range of hospitality employees working in customer-facing service environments.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Representative populations include:</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Hotel employees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Restaurant employees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Frontline hospitality employees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Bar employees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Tourism employees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Luxury hospitality employees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Kitchen staff</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International hospitality employees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consistency of findings across hospitality sectors demonstrates that emotional labor is an inherent feature of hospitality employment regardless of organizational setting.</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Geographic Representation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reviewed in S-002 demonstrates broad international representation.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Studies originated from:</w:t>
      </w:r>
    </w:p>
    <w:p>
      <w:pPr>
        <w:pStyle w:val="Default"/>
        <w:numPr>
          <w:ilvl w:val="0"/>
          <w:numId w:val="2"/>
        </w:numPr>
        <w:suppressAutoHyphens w:val="1"/>
        <w:spacing w:before="0" w:line="240" w:lineRule="auto"/>
        <w:jc w:val="left"/>
        <w:rPr>
          <w:rFonts w:ascii="Times New Roman" w:hAnsi="Times New Roman"/>
          <w:lang w:val="de-DE"/>
        </w:rPr>
      </w:pPr>
      <w:r>
        <w:rPr>
          <w:rFonts w:ascii="Times New Roman" w:hAnsi="Times New Roman"/>
          <w:rtl w:val="0"/>
          <w:lang w:val="de-DE"/>
        </w:rPr>
        <w:t>China</w:t>
      </w:r>
    </w:p>
    <w:p>
      <w:pPr>
        <w:pStyle w:val="Default"/>
        <w:numPr>
          <w:ilvl w:val="0"/>
          <w:numId w:val="2"/>
        </w:numPr>
        <w:suppressAutoHyphens w:val="1"/>
        <w:spacing w:before="0" w:line="240" w:lineRule="auto"/>
        <w:jc w:val="left"/>
        <w:rPr>
          <w:rFonts w:ascii="Times New Roman" w:hAnsi="Times New Roman"/>
        </w:rPr>
      </w:pPr>
      <w:r>
        <w:rPr>
          <w:rFonts w:ascii="Times New Roman" w:hAnsi="Times New Roman"/>
          <w:rtl w:val="0"/>
        </w:rPr>
        <w:t>Spain</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South Korea</w:t>
      </w:r>
    </w:p>
    <w:p>
      <w:pPr>
        <w:pStyle w:val="Default"/>
        <w:numPr>
          <w:ilvl w:val="0"/>
          <w:numId w:val="2"/>
        </w:numPr>
        <w:suppressAutoHyphens w:val="1"/>
        <w:spacing w:before="0" w:line="240" w:lineRule="auto"/>
        <w:jc w:val="left"/>
        <w:rPr>
          <w:rFonts w:ascii="Times New Roman" w:hAnsi="Times New Roman"/>
          <w:lang w:val="it-IT"/>
        </w:rPr>
      </w:pPr>
      <w:r>
        <w:rPr>
          <w:rFonts w:ascii="Times New Roman" w:hAnsi="Times New Roman"/>
          <w:rtl w:val="0"/>
          <w:lang w:val="it-IT"/>
        </w:rPr>
        <w:t>India</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South Africa</w:t>
      </w:r>
    </w:p>
    <w:p>
      <w:pPr>
        <w:pStyle w:val="Default"/>
        <w:numPr>
          <w:ilvl w:val="0"/>
          <w:numId w:val="2"/>
        </w:numPr>
        <w:suppressAutoHyphens w:val="1"/>
        <w:spacing w:before="0" w:line="240" w:lineRule="auto"/>
        <w:jc w:val="left"/>
        <w:rPr>
          <w:rFonts w:ascii="Times New Roman" w:hAnsi="Times New Roman"/>
        </w:rPr>
      </w:pPr>
      <w:r>
        <w:rPr>
          <w:rFonts w:ascii="Times New Roman" w:hAnsi="Times New Roman"/>
          <w:rtl w:val="0"/>
        </w:rPr>
        <w:t>Taiwan</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International comparative samples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international diversity of the literature suggests that emotional labor represents a universal occupational demand across hospitality organizations despite cultural differences in emotional display expectations.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Principal Findings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Several conclusions consistently emerged throughout the literature.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Emotional labor is a defining characteristic of hospitality employment.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Surface acting consistently predicts emotional exhaustion, burnout, diminished psychological well-being, and increased turnover intentions.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Deep acting generally produces healthier psychological outcomes than surface acting because employees internalize emotional displays rather than merely suppressing authentic emotional experiences.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Customer mistreatment substantially increases emotional labor demands and contributes to psychological strain.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Leadership quality and perceived organizational support moderate the negative psychological effects of emotional labor.</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Recovery experiences improve resilience following emotionally demanding work.</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Emotional labor influences employee engagement, organizational commitment, service quality, and long-term employee retention.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Collectively, these findings establish emotional labor as the principal psychological mechanism linking workplace interactions with burnout and occupational mental health.</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Research Gaps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Dossier S-002 identified several important opportunities for future investigation.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First, relatively little longitudinal research examines cumulative emotional labor across hospitality careers.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Second, emotional labor among hospitality managers remains comparatively underexplored.</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Third, little research investigates emotional labor among independent restaurants, casinos, gig economy workers, or adult entertainment employees.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Fourth, relatively few studies examine relationships between emotional labor and clinically diagnosed depression, anxiety disorders, PTSD, or substance use disorders.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Finally, additional qualitative research is needed to better understand employees' lived experiences of sustained emotional regulation within hospitality workplaces.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These gaps informed the development of subsequent HMHP evidence dossiers examining psychological outcomes beyond burnout.</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Implications for HMHP</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Dossier S-002 establishes emotional labor as the principal psychological mechanism through which hospitality employees experience occupational stress.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Where Evidence Dossier S-001 identified burnout as the dominant psychological outcome within hospitality employee research, S-002 explains how routine workplace interactions generate the emotional strain that contributes to burnout and broader psychological distress.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Understanding emotional labor is therefore essential for interpreting subsequent evidence concerning depression, anxiety, sleep disruption, substance use, trauma exposure, and help-seeking behaviors.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Relationship to the HMHP Integrated Conceptual Framework</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accumulated in S-002 positions emotional labor immediately following occupational demands within the HMHP Integrated Conceptual Framework.</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Hospitality employees encounter continuous emotional demands through customer interactions, organizational display rules, interpersonal conflict, and service expectations. These demands require ongoing emotional regulation that, when sustained over time, contributes directly to burnout and emotional exhaustion.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Within the HMHP framework, emotional labor serves as the psychological process that transforms occupational stressors into broader mental health outcomes, making it one of the central explanatory constructs supporting the overall model.</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Overall Assessment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Dossier S-002 demonstrates that emotional labor represents one of the most mature and theoretically developed areas within hospitality psychology. The literature is internationally representative, conceptually sophisticated, and supported by substantial empirical evidence.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Current findings consistently demonstrate that surface acting contributes to burnout and emotional exhaustion, while deep acting, organizational support, effective leadership, and recovery experiences reduce psychological strain and improve employee well-being.</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 xml:space="preserve">Overall confidence in the available evidence is </w:t>
      </w:r>
      <w:r>
        <w:rPr>
          <w:rFonts w:ascii="Times New Roman" w:hAnsi="Times New Roman"/>
          <w:b w:val="1"/>
          <w:bCs w:val="1"/>
          <w:rtl w:val="0"/>
          <w:lang w:val="en-US"/>
        </w:rPr>
        <w:t>very high</w:t>
      </w:r>
      <w:r>
        <w:rPr>
          <w:rFonts w:ascii="Times New Roman" w:hAnsi="Times New Roman"/>
          <w:rtl w:val="0"/>
          <w:lang w:val="en-US"/>
        </w:rPr>
        <w:t xml:space="preserve">, while confidence regarding emotional labor as the principal psychological mechanism connecting hospitality work with burnout is </w:t>
      </w:r>
      <w:r>
        <w:rPr>
          <w:rFonts w:ascii="Times New Roman" w:hAnsi="Times New Roman"/>
          <w:b w:val="1"/>
          <w:bCs w:val="1"/>
          <w:rtl w:val="0"/>
          <w:lang w:val="en-US"/>
        </w:rPr>
        <w:t>exceptionally high</w:t>
      </w:r>
      <w:r>
        <w:rPr>
          <w:rFonts w:ascii="Times New Roman" w:hAnsi="Times New Roman"/>
          <w:rtl w:val="0"/>
        </w:rPr>
        <w:t>.</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 xml:space="preserve">Tier I </w:t>
      </w:r>
      <w:r>
        <w:rPr>
          <w:rFonts w:ascii="Times New Roman" w:hAnsi="Times New Roman" w:hint="default"/>
          <w:b w:val="1"/>
          <w:bCs w:val="1"/>
          <w:rtl w:val="0"/>
        </w:rPr>
        <w:t xml:space="preserve">– </w:t>
      </w:r>
      <w:r>
        <w:rPr>
          <w:rFonts w:ascii="Times New Roman" w:hAnsi="Times New Roman"/>
          <w:b w:val="1"/>
          <w:bCs w:val="1"/>
          <w:rtl w:val="0"/>
          <w:lang w:val="en-US"/>
        </w:rPr>
        <w:t>Foundational Literature</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1"/>
          <w:iCs w:val="1"/>
          <w:rtl w:val="0"/>
          <w:lang w:val="en-US"/>
        </w:rPr>
        <w:t>(Retain the Tier I bibliography from Version 1.0.)</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de-DE"/>
        </w:rPr>
        <w:t xml:space="preserve">Tier II </w:t>
      </w:r>
      <w:r>
        <w:rPr>
          <w:rFonts w:ascii="Times New Roman" w:hAnsi="Times New Roman" w:hint="default"/>
          <w:b w:val="1"/>
          <w:bCs w:val="1"/>
          <w:rtl w:val="0"/>
        </w:rPr>
        <w:t xml:space="preserve">– </w:t>
      </w:r>
      <w:r>
        <w:rPr>
          <w:rFonts w:ascii="Times New Roman" w:hAnsi="Times New Roman"/>
          <w:b w:val="1"/>
          <w:bCs w:val="1"/>
          <w:rtl w:val="0"/>
          <w:lang w:val="en-US"/>
        </w:rPr>
        <w:t>Supporting Literature</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1"/>
          <w:iCs w:val="1"/>
          <w:rtl w:val="0"/>
          <w:lang w:val="en-US"/>
        </w:rPr>
        <w:t>(Retain the Tier II bibliography from Version 1.0.)</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Investigator Notes</w:t>
      </w: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Key Insight 1</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Emotional labor represents the primary psychological mechanism through which occupational demands influence hospitality employee mental health.</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Key Insight 2</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Surface acting consistently predicts poorer psychological outcomes than deep acting, making emotional regulation strategy an important determinant of employee well-being.</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Key Insight 3</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Customer mistreatment, organizational display rules, leadership quality, and workplace culture collectively shape employees' emotional labor experiences and subsequent psychological functioning.</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Key Insight 4</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Dossier S-002 provides the conceptual bridge between occupational demands identified throughout hospitality work and the burnout process established in S-001, while simultaneously laying the theoretical foundation for subsequent evidence concerning depression, anxiety, trauma, and other psychological outcomes.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Summary</w:t>
      </w:r>
    </w:p>
    <w:p>
      <w:pPr>
        <w:pStyle w:val="Default"/>
        <w:suppressAutoHyphens w:val="1"/>
        <w:spacing w:before="0" w:after="240" w:line="240" w:lineRule="auto"/>
      </w:pPr>
      <w:r>
        <w:rPr>
          <w:rFonts w:ascii="Times New Roman" w:hAnsi="Times New Roman"/>
          <w:rtl w:val="0"/>
          <w:lang w:val="en-US"/>
        </w:rPr>
        <w:t>Evidence Dossier S-002 establishes emotional labor as one of the defining psychological characteristics of hospitality employment. Across diverse hospitality settings, employees are consistently required to regulate emotional expression in response to organizational expectations, customer interactions, and workplace demands. Surface acting emerges as the emotional regulation strategy most strongly associated with burnout, emotional exhaustion, diminished psychological well-being, and employee turnover, whereas deep acting generally produces healthier occupational outcomes. The literature further demonstrates that organizational support, effective leadership, recovery experiences, and psychologically healthy workplace cultures can mitigate the negative consequences of sustained emotional labor. Collectively, the findings of Evidence Dossier S-002 identify emotional labor as the principal psychological mechanism linking occupational demands with burnout and establish it as a central component of the HMHP Integrated Conceptual Framework.</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72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 w:ilvl="1">
      <w:start w:val="1"/>
      <w:numFmt w:val="bullet"/>
      <w:suff w:val="tab"/>
      <w:lvlText w:val="•"/>
      <w:lvlJc w:val="left"/>
      <w:pPr>
        <w:ind w:left="94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2">
      <w:start w:val="1"/>
      <w:numFmt w:val="bullet"/>
      <w:suff w:val="tab"/>
      <w:lvlText w:val="•"/>
      <w:lvlJc w:val="left"/>
      <w:pPr>
        <w:ind w:left="116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3">
      <w:start w:val="1"/>
      <w:numFmt w:val="bullet"/>
      <w:suff w:val="tab"/>
      <w:lvlText w:val="•"/>
      <w:lvlJc w:val="left"/>
      <w:pPr>
        <w:ind w:left="138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4">
      <w:start w:val="1"/>
      <w:numFmt w:val="bullet"/>
      <w:suff w:val="tab"/>
      <w:lvlText w:val="•"/>
      <w:lvlJc w:val="left"/>
      <w:pPr>
        <w:ind w:left="160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5">
      <w:start w:val="1"/>
      <w:numFmt w:val="bullet"/>
      <w:suff w:val="tab"/>
      <w:lvlText w:val="•"/>
      <w:lvlJc w:val="left"/>
      <w:pPr>
        <w:ind w:left="182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6">
      <w:start w:val="1"/>
      <w:numFmt w:val="bullet"/>
      <w:suff w:val="tab"/>
      <w:lvlText w:val="•"/>
      <w:lvlJc w:val="left"/>
      <w:pPr>
        <w:ind w:left="204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7">
      <w:start w:val="1"/>
      <w:numFmt w:val="bullet"/>
      <w:suff w:val="tab"/>
      <w:lvlText w:val="•"/>
      <w:lvlJc w:val="left"/>
      <w:pPr>
        <w:ind w:left="226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8">
      <w:start w:val="1"/>
      <w:numFmt w:val="bullet"/>
      <w:suff w:val="tab"/>
      <w:lvlText w:val="•"/>
      <w:lvlJc w:val="left"/>
      <w:pPr>
        <w:ind w:left="248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numbering" w:styleId="Bullet">
    <w:name w:val="Bullet"/>
    <w:pPr>
      <w:numPr>
        <w:numId w:val="1"/>
      </w:numPr>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2"/>
      <w:szCs w:val="22"/>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