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HMHP-101 Phase I: Foundation &amp; Literature Review</w:t>
      </w: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rPr>
        <w:t>Evidence Dossier S-001</w:t>
      </w:r>
    </w:p>
    <w:p>
      <w:pPr>
        <w:pStyle w:val="Default"/>
        <w:suppressAutoHyphens w:val="1"/>
        <w:spacing w:before="0" w:after="299" w:line="240" w:lineRule="auto"/>
        <w:rPr>
          <w:rFonts w:ascii="Times New Roman" w:cs="Times New Roman" w:hAnsi="Times New Roman" w:eastAsia="Times New Roman"/>
          <w:b w:val="1"/>
          <w:bCs w:val="1"/>
        </w:rPr>
      </w:pPr>
      <w:r>
        <w:rPr>
          <w:rFonts w:ascii="Times New Roman" w:hAnsi="Times New Roman"/>
          <w:b w:val="1"/>
          <w:bCs w:val="1"/>
          <w:rtl w:val="0"/>
          <w:lang w:val="en-US"/>
        </w:rPr>
        <w:t>Burnout and Occupational Exhaustion in Hospitality Employees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b w:val="1"/>
          <w:bCs w:val="1"/>
          <w:rtl w:val="0"/>
          <w:lang w:val="en-US"/>
        </w:rPr>
        <w:t>Project:</w:t>
      </w:r>
      <w:r>
        <w:rPr>
          <w:rFonts w:ascii="Times New Roman" w:hAnsi="Times New Roman"/>
          <w:rtl w:val="0"/>
          <w:lang w:val="en-US"/>
        </w:rPr>
        <w:t xml:space="preserve"> Hospitality Mental Health Project (HMHP)</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b w:val="1"/>
          <w:bCs w:val="1"/>
          <w:rtl w:val="0"/>
          <w:lang w:val="en-US"/>
        </w:rPr>
        <w:t>Phase:</w:t>
      </w:r>
      <w:r>
        <w:rPr>
          <w:rFonts w:ascii="Times New Roman" w:hAnsi="Times New Roman"/>
          <w:rtl w:val="0"/>
        </w:rPr>
        <w:t xml:space="preserve"> HMHP-101 </w:t>
      </w:r>
      <w:r>
        <w:rPr>
          <w:rFonts w:ascii="Times New Roman" w:hAnsi="Times New Roman" w:hint="default"/>
          <w:rtl w:val="0"/>
        </w:rPr>
        <w:t xml:space="preserve">– </w:t>
      </w:r>
      <w:r>
        <w:rPr>
          <w:rFonts w:ascii="Times New Roman" w:hAnsi="Times New Roman"/>
          <w:rtl w:val="0"/>
          <w:lang w:val="en-US"/>
        </w:rPr>
        <w:t>Foundation &amp; Literature Review</w:t>
      </w:r>
    </w:p>
    <w:p>
      <w:pPr>
        <w:pStyle w:val="Default"/>
        <w:suppressAutoHyphens w:val="1"/>
        <w:spacing w:before="0" w:after="240" w:line="240" w:lineRule="auto"/>
        <w:rPr>
          <w:rFonts w:ascii="Times New Roman" w:cs="Times New Roman" w:hAnsi="Times New Roman" w:eastAsia="Times New Roman"/>
          <w:b w:val="0"/>
          <w:bCs w:val="0"/>
        </w:rPr>
      </w:pPr>
      <w:r>
        <w:rPr>
          <w:rFonts w:ascii="Times New Roman" w:hAnsi="Times New Roman"/>
          <w:b w:val="1"/>
          <w:bCs w:val="1"/>
          <w:rtl w:val="0"/>
          <w:lang w:val="fr-FR"/>
        </w:rPr>
        <w:t>Evidence Dossier:</w:t>
      </w:r>
      <w:r>
        <w:rPr>
          <w:rFonts w:ascii="Times New Roman" w:hAnsi="Times New Roman"/>
          <w:b w:val="0"/>
          <w:bCs w:val="0"/>
          <w:rtl w:val="0"/>
        </w:rPr>
        <w:t xml:space="preserve"> S-001</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b w:val="1"/>
          <w:bCs w:val="1"/>
          <w:rtl w:val="0"/>
          <w:lang w:val="nl-NL"/>
        </w:rPr>
        <w:t>Status:</w:t>
      </w:r>
      <w:r>
        <w:rPr>
          <w:rFonts w:ascii="Times New Roman" w:hAnsi="Times New Roman"/>
          <w:rtl w:val="0"/>
          <w:lang w:val="en-US"/>
        </w:rPr>
        <w:t xml:space="preserve"> Complete</w:t>
      </w:r>
    </w:p>
    <w:p>
      <w:pPr>
        <w:pStyle w:val="Default"/>
        <w:suppressAutoHyphens w:val="1"/>
        <w:spacing w:before="0" w:after="240" w:line="240" w:lineRule="auto"/>
        <w:rPr>
          <w:rFonts w:ascii="Times New Roman" w:cs="Times New Roman" w:hAnsi="Times New Roman" w:eastAsia="Times New Roman"/>
          <w:b w:val="0"/>
          <w:bCs w:val="0"/>
        </w:rPr>
      </w:pPr>
      <w:r>
        <w:rPr>
          <w:rFonts w:ascii="Times New Roman" w:hAnsi="Times New Roman"/>
          <w:b w:val="1"/>
          <w:bCs w:val="1"/>
          <w:rtl w:val="0"/>
          <w:lang w:val="de-DE"/>
        </w:rPr>
        <w:t>Version:</w:t>
      </w:r>
      <w:r>
        <w:rPr>
          <w:rFonts w:ascii="Times New Roman" w:hAnsi="Times New Roman"/>
          <w:b w:val="0"/>
          <w:bCs w:val="0"/>
          <w:rtl w:val="0"/>
        </w:rPr>
        <w:t xml:space="preserve"> 2.0</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b w:val="1"/>
          <w:bCs w:val="1"/>
          <w:rtl w:val="0"/>
          <w:lang w:val="de-DE"/>
        </w:rPr>
        <w:t>Date:</w:t>
      </w:r>
      <w:r>
        <w:rPr>
          <w:rFonts w:ascii="Times New Roman" w:hAnsi="Times New Roman"/>
          <w:rtl w:val="0"/>
          <w:lang w:val="en-US"/>
        </w:rPr>
        <w:t xml:space="preserve"> June 2026</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Purpose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The purpose of Evidence Dossier S-001 is to examine the current body of peer-reviewed literature concerning occupational burnout and emotional exhaustion among hospitality employees. Particular attention is given to burnout, emotional exhaustion, turnover intention, organizational support, psychological capital, resilience, work stress, and related occupational outcomes across hospitality settings.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As the first evidence dossier within the Hospitality Mental Health Project (HMHP), this review establishes the foundational construct upon which much of the hospitality mental health literature has been built. Burnout consistently emerges as the dominant psychological outcome investigated within hospitality research and serves as the conceptual bridge between occupational stressors and broader mental health outcomes examined throughout subsequent HMHP evidence dossiers.</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Research Objective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To identify, evaluate, and synthesize peer-reviewed literature examining burnout and occupational exhaustion among hospitality employees while identifying dominant theoretical frameworks, principal findings, methodological trends, research gaps, and implications for future hospitality mental health research.</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Search Strategy</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Multiple systematic searches were conducted using the Bellevue University Library (ProQuest One Academic). Searches emphasized peer-reviewed hospitality literature examining occupational burnout, emotional exhaustion, employee well-being, turnover intentions, and related occupational outcomes.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Representative search terms included:</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hospitality AND burnout</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hotel employee* AND burnout</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restaurant employee* AND burnout</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hospitality employee* AND burnout</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tourism employee* AND burnout</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emotional exhaustion AND hospitality</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hospitality employee* AND occupational stress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Citation chaining and review of highly cited publications were used to identify additional foundational studies relevant to hospitality burnout.</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s-ES_tradnl"/>
        </w:rPr>
        <w:t>Inclusion Criteria</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Studies were included when they:</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Examined hospitality or tourism employees.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Investigated burnout, emotional exhaustion, or occupational well-being.</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Reported psychological, organizational, or behavioral outcomes associated with burnout.</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Were peer-reviewed empirical investigations, systematic reviews, meta-analyses, or theoretical papers.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Were published in English.</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fr-FR"/>
        </w:rPr>
        <w:t>Exclusion Criteria</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Studies were excluded when they:</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Focused exclusively on non-hospitality occupations.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Examined operational or financial outcomes without employee mental health variables.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Were editorials, opinion pieces, conference abstracts, or non-peer-reviewed publications.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Focused exclusively on hospitality students without occupational relevance.</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Evidence Summary</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Evidence Dossier S-001 demonstrates that burnout represents the most extensively studied psychological construct within hospitality employee research. Across hotels, restaurants, tourism organizations, and related service industries, burnout consistently predicts emotional exhaustion, diminished organizational commitment, reduced job satisfaction, lower employee performance, counterproductive workplace behaviors, and increased turnover intentions.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The literature further demonstrates that leadership quality, organizational support, psychological capital, resilience, and supportive workplace cultures function as important protective factors capable of reducing burnout while improving employee well-being.</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Collectively, the available evidence indicates that burnout occupies a central position within hospitality mental health research and serves as the primary mechanism through which occupational stress influences employee psychological functioning.</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State of the Literature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Research concerning burnout among hospitality employees is highly developed and internationally representative. Burnout has been investigated across numerous hospitality settings including hotels, restaurants, tourism organizations, casinos, and frontline customer-service occupations.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The literature demonstrates strong theoretical development supported by multiple systematic reviews, meta-analyses, and large-scale empirical investigations. Burnout is consistently conceptualized as both an occupational outcome and a mediator linking workplace demands with employee well-being.</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Although the literature surrounding burnout is extensive, comparatively less attention has been devoted to clinically significant mental health conditions including depression, anxiety disorders, trauma, substance use disorders, and suicide risk. These gaps directly informed the development of subsequent HMHP evidence dossiers.</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Dominant Theoretical Frameworks</w:t>
      </w:r>
    </w:p>
    <w:p>
      <w:pPr>
        <w:pStyle w:val="Default"/>
        <w:suppressAutoHyphens w:val="1"/>
        <w:spacing w:before="0" w:after="281" w:line="240" w:lineRule="auto"/>
        <w:rPr>
          <w:rFonts w:ascii="Times New Roman" w:cs="Times New Roman" w:hAnsi="Times New Roman" w:eastAsia="Times New Roman"/>
          <w:b w:val="1"/>
          <w:bCs w:val="1"/>
        </w:rPr>
      </w:pPr>
      <w:r>
        <w:rPr>
          <w:rFonts w:ascii="Times New Roman" w:hAnsi="Times New Roman"/>
          <w:b w:val="1"/>
          <w:bCs w:val="1"/>
          <w:rtl w:val="0"/>
          <w:lang w:val="en-US"/>
        </w:rPr>
        <w:t>Job Demands</w:t>
      </w:r>
      <w:r>
        <w:rPr>
          <w:rFonts w:ascii="Times New Roman" w:hAnsi="Times New Roman" w:hint="default"/>
          <w:b w:val="1"/>
          <w:bCs w:val="1"/>
          <w:rtl w:val="0"/>
        </w:rPr>
        <w:t>–</w:t>
      </w:r>
      <w:r>
        <w:rPr>
          <w:rFonts w:ascii="Times New Roman" w:hAnsi="Times New Roman"/>
          <w:b w:val="1"/>
          <w:bCs w:val="1"/>
          <w:rtl w:val="0"/>
          <w:lang w:val="en-US"/>
        </w:rPr>
        <w:t>Resources (JD-R) Theory</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The Job Demands</w:t>
      </w:r>
      <w:r>
        <w:rPr>
          <w:rFonts w:ascii="Times New Roman" w:hAnsi="Times New Roman" w:hint="default"/>
          <w:rtl w:val="0"/>
        </w:rPr>
        <w:t>–</w:t>
      </w:r>
      <w:r>
        <w:rPr>
          <w:rFonts w:ascii="Times New Roman" w:hAnsi="Times New Roman"/>
          <w:rtl w:val="0"/>
          <w:lang w:val="en-US"/>
        </w:rPr>
        <w:t>Resources model represents the dominant theoretical framework within hospitality burnout research. Burnout develops when occupational demands consistently exceed the organizational and personal resources available to employees.</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281" w:line="240" w:lineRule="auto"/>
        <w:rPr>
          <w:rFonts w:ascii="Times New Roman" w:cs="Times New Roman" w:hAnsi="Times New Roman" w:eastAsia="Times New Roman"/>
          <w:b w:val="1"/>
          <w:bCs w:val="1"/>
        </w:rPr>
      </w:pPr>
      <w:r>
        <w:rPr>
          <w:rFonts w:ascii="Times New Roman" w:hAnsi="Times New Roman"/>
          <w:b w:val="1"/>
          <w:bCs w:val="1"/>
          <w:rtl w:val="0"/>
          <w:lang w:val="en-US"/>
        </w:rPr>
        <w:t>Conservation of Resources (COR) Theory</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Conservation of Resources Theory proposes that employees seek to obtain, preserve, and replenish valuable psychological resources. Burnout develops when these resources are repeatedly threatened or depleted through chronic occupational stress.</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281" w:line="240" w:lineRule="auto"/>
        <w:rPr>
          <w:rFonts w:ascii="Times New Roman" w:cs="Times New Roman" w:hAnsi="Times New Roman" w:eastAsia="Times New Roman"/>
          <w:b w:val="1"/>
          <w:bCs w:val="1"/>
        </w:rPr>
      </w:pPr>
      <w:r>
        <w:rPr>
          <w:rFonts w:ascii="Times New Roman" w:hAnsi="Times New Roman"/>
          <w:b w:val="1"/>
          <w:bCs w:val="1"/>
          <w:rtl w:val="0"/>
          <w:lang w:val="en-US"/>
        </w:rPr>
        <w:t>Psychological Capital Theory</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Psychological capital</w:t>
      </w:r>
      <w:r>
        <w:rPr>
          <w:rFonts w:ascii="Times New Roman" w:hAnsi="Times New Roman" w:hint="default"/>
          <w:rtl w:val="0"/>
          <w:lang w:val="en-US"/>
        </w:rPr>
        <w:t>—</w:t>
      </w:r>
      <w:r>
        <w:rPr>
          <w:rFonts w:ascii="Times New Roman" w:hAnsi="Times New Roman"/>
          <w:rtl w:val="0"/>
          <w:lang w:val="en-US"/>
        </w:rPr>
        <w:t>including hope, optimism, resilience, and self-efficacy</w:t>
      </w:r>
      <w:r>
        <w:rPr>
          <w:rFonts w:ascii="Times New Roman" w:hAnsi="Times New Roman" w:hint="default"/>
          <w:rtl w:val="0"/>
          <w:lang w:val="en-US"/>
        </w:rPr>
        <w:t>—</w:t>
      </w:r>
      <w:r>
        <w:rPr>
          <w:rFonts w:ascii="Times New Roman" w:hAnsi="Times New Roman"/>
          <w:rtl w:val="0"/>
          <w:lang w:val="en-US"/>
        </w:rPr>
        <w:t>functions as a protective resource capable of reducing burnout while promoting employee well-being.</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281" w:line="240" w:lineRule="auto"/>
        <w:rPr>
          <w:rFonts w:ascii="Times New Roman" w:cs="Times New Roman" w:hAnsi="Times New Roman" w:eastAsia="Times New Roman"/>
          <w:b w:val="1"/>
          <w:bCs w:val="1"/>
        </w:rPr>
      </w:pPr>
      <w:r>
        <w:rPr>
          <w:rFonts w:ascii="Times New Roman" w:hAnsi="Times New Roman"/>
          <w:b w:val="1"/>
          <w:bCs w:val="1"/>
          <w:rtl w:val="0"/>
          <w:lang w:val="en-US"/>
        </w:rPr>
        <w:t>Organizational Support Theory</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Employees who perceive greater organizational support consistently report lower burnout, stronger organizational commitment, improved job satisfaction, and greater psychological well-being.</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de-DE"/>
        </w:rPr>
        <w:t>Major Themes Identified</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Several themes consistently emerged throughout the literature.</w:t>
      </w:r>
    </w:p>
    <w:p>
      <w:pPr>
        <w:pStyle w:val="Default"/>
        <w:numPr>
          <w:ilvl w:val="0"/>
          <w:numId w:val="2"/>
        </w:numPr>
        <w:suppressAutoHyphens w:val="1"/>
        <w:spacing w:before="0" w:line="240" w:lineRule="auto"/>
        <w:jc w:val="left"/>
        <w:rPr>
          <w:rFonts w:ascii="Times New Roman" w:hAnsi="Times New Roman"/>
        </w:rPr>
      </w:pPr>
      <w:r>
        <w:rPr>
          <w:rFonts w:ascii="Times New Roman" w:hAnsi="Times New Roman"/>
          <w:rtl w:val="0"/>
        </w:rPr>
        <w:t>Burnout</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Emotional exhaustion</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Organizational support</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Leadership quality</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Psychological capital</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Resilience</w:t>
      </w:r>
    </w:p>
    <w:p>
      <w:pPr>
        <w:pStyle w:val="Default"/>
        <w:numPr>
          <w:ilvl w:val="0"/>
          <w:numId w:val="2"/>
        </w:numPr>
        <w:suppressAutoHyphens w:val="1"/>
        <w:spacing w:before="0" w:line="240" w:lineRule="auto"/>
        <w:jc w:val="left"/>
        <w:rPr>
          <w:rFonts w:ascii="Times New Roman" w:hAnsi="Times New Roman"/>
          <w:lang w:val="fr-FR"/>
        </w:rPr>
      </w:pPr>
      <w:r>
        <w:rPr>
          <w:rFonts w:ascii="Times New Roman" w:hAnsi="Times New Roman"/>
          <w:rtl w:val="0"/>
          <w:lang w:val="fr-FR"/>
        </w:rPr>
        <w:t>Occupational stress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Work-life conflict</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Financial well-being</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Job insecurity</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Counterproductive workplace behaviors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Psychological distress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Employee engagement</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Organizational commitment</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Turnover intention</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Employee performance</w:t>
      </w:r>
    </w:p>
    <w:p>
      <w:pPr>
        <w:pStyle w:val="Default"/>
        <w:suppressAutoHyphens w:val="1"/>
        <w:spacing w:before="0" w:after="240" w:line="240" w:lineRule="auto"/>
        <w:ind w:left="720" w:hanging="720"/>
        <w:rPr>
          <w:rFonts w:ascii="Times New Roman" w:cs="Times New Roman" w:hAnsi="Times New Roman" w:eastAsia="Times New Roman"/>
          <w:i w:val="1"/>
          <w:iCs w:val="1"/>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Populations Represented</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The literature reviewed in S-001 encompasses a broad range of hospitality employees working across diverse service environments. Studies examined hotel employees, restaurant employees, frontline service staff, supervisors, managers, tourism employees, and hospitality workers employed in both independent and corporate organizations.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Representative populations include:</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Hotel employees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Restaurant employees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Frontline hospitality employees</w:t>
      </w:r>
    </w:p>
    <w:p>
      <w:pPr>
        <w:pStyle w:val="Default"/>
        <w:numPr>
          <w:ilvl w:val="0"/>
          <w:numId w:val="2"/>
        </w:numPr>
        <w:suppressAutoHyphens w:val="1"/>
        <w:spacing w:before="0" w:line="240" w:lineRule="auto"/>
        <w:jc w:val="left"/>
        <w:rPr>
          <w:rFonts w:ascii="Times New Roman" w:hAnsi="Times New Roman"/>
          <w:lang w:val="it-IT"/>
        </w:rPr>
      </w:pPr>
      <w:r>
        <w:rPr>
          <w:rFonts w:ascii="Times New Roman" w:hAnsi="Times New Roman"/>
          <w:rtl w:val="0"/>
          <w:lang w:val="it-IT"/>
        </w:rPr>
        <w:t>Hotel managers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Restaurant managers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Tourism employees</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International hospitality workers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The consistency of findings across occupational roles suggests that burnout represents a pervasive concern throughout the hospitality industry rather than a problem confined to individual sectors.</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Geographic Representation</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Evidence reviewed in S-001 demonstrates substantial international representation.</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Studies originated from:</w:t>
      </w:r>
    </w:p>
    <w:p>
      <w:pPr>
        <w:pStyle w:val="Default"/>
        <w:numPr>
          <w:ilvl w:val="0"/>
          <w:numId w:val="2"/>
        </w:numPr>
        <w:suppressAutoHyphens w:val="1"/>
        <w:spacing w:before="0" w:line="240" w:lineRule="auto"/>
        <w:jc w:val="left"/>
        <w:rPr>
          <w:rFonts w:ascii="Times New Roman" w:hAnsi="Times New Roman"/>
        </w:rPr>
      </w:pPr>
      <w:r>
        <w:rPr>
          <w:rFonts w:ascii="Times New Roman" w:hAnsi="Times New Roman"/>
          <w:rtl w:val="0"/>
        </w:rPr>
        <w:t>Spain</w:t>
      </w:r>
    </w:p>
    <w:p>
      <w:pPr>
        <w:pStyle w:val="Default"/>
        <w:numPr>
          <w:ilvl w:val="0"/>
          <w:numId w:val="2"/>
        </w:numPr>
        <w:suppressAutoHyphens w:val="1"/>
        <w:spacing w:before="0" w:line="240" w:lineRule="auto"/>
        <w:jc w:val="left"/>
        <w:rPr>
          <w:rFonts w:ascii="Times New Roman" w:hAnsi="Times New Roman"/>
        </w:rPr>
      </w:pPr>
      <w:r>
        <w:rPr>
          <w:rFonts w:ascii="Times New Roman" w:hAnsi="Times New Roman"/>
          <w:rtl w:val="0"/>
        </w:rPr>
        <w:t>Turkey</w:t>
      </w:r>
    </w:p>
    <w:p>
      <w:pPr>
        <w:pStyle w:val="Default"/>
        <w:numPr>
          <w:ilvl w:val="0"/>
          <w:numId w:val="2"/>
        </w:numPr>
        <w:suppressAutoHyphens w:val="1"/>
        <w:spacing w:before="0" w:line="240" w:lineRule="auto"/>
        <w:jc w:val="left"/>
        <w:rPr>
          <w:rFonts w:ascii="Times New Roman" w:hAnsi="Times New Roman"/>
          <w:lang w:val="da-DK"/>
        </w:rPr>
      </w:pPr>
      <w:r>
        <w:rPr>
          <w:rFonts w:ascii="Times New Roman" w:hAnsi="Times New Roman"/>
          <w:rtl w:val="0"/>
          <w:lang w:val="da-DK"/>
        </w:rPr>
        <w:t>Jordan</w:t>
      </w:r>
    </w:p>
    <w:p>
      <w:pPr>
        <w:pStyle w:val="Default"/>
        <w:numPr>
          <w:ilvl w:val="0"/>
          <w:numId w:val="2"/>
        </w:numPr>
        <w:suppressAutoHyphens w:val="1"/>
        <w:spacing w:before="0" w:line="240" w:lineRule="auto"/>
        <w:jc w:val="left"/>
        <w:rPr>
          <w:rFonts w:ascii="Times New Roman" w:hAnsi="Times New Roman"/>
          <w:lang w:val="de-DE"/>
        </w:rPr>
      </w:pPr>
      <w:r>
        <w:rPr>
          <w:rFonts w:ascii="Times New Roman" w:hAnsi="Times New Roman"/>
          <w:rtl w:val="0"/>
          <w:lang w:val="de-DE"/>
        </w:rPr>
        <w:t>China</w:t>
      </w:r>
    </w:p>
    <w:p>
      <w:pPr>
        <w:pStyle w:val="Default"/>
        <w:numPr>
          <w:ilvl w:val="0"/>
          <w:numId w:val="2"/>
        </w:numPr>
        <w:suppressAutoHyphens w:val="1"/>
        <w:spacing w:before="0" w:line="240" w:lineRule="auto"/>
        <w:jc w:val="left"/>
        <w:rPr>
          <w:rFonts w:ascii="Times New Roman" w:hAnsi="Times New Roman"/>
        </w:rPr>
      </w:pPr>
      <w:r>
        <w:rPr>
          <w:rFonts w:ascii="Times New Roman" w:hAnsi="Times New Roman"/>
          <w:rtl w:val="0"/>
        </w:rPr>
        <w:t>Taiwan</w:t>
      </w:r>
    </w:p>
    <w:p>
      <w:pPr>
        <w:pStyle w:val="Default"/>
        <w:numPr>
          <w:ilvl w:val="0"/>
          <w:numId w:val="2"/>
        </w:numPr>
        <w:suppressAutoHyphens w:val="1"/>
        <w:spacing w:before="0" w:line="240" w:lineRule="auto"/>
        <w:jc w:val="left"/>
        <w:rPr>
          <w:rFonts w:ascii="Times New Roman" w:hAnsi="Times New Roman"/>
          <w:lang w:val="it-IT"/>
        </w:rPr>
      </w:pPr>
      <w:r>
        <w:rPr>
          <w:rFonts w:ascii="Times New Roman" w:hAnsi="Times New Roman"/>
          <w:rtl w:val="0"/>
          <w:lang w:val="it-IT"/>
        </w:rPr>
        <w:t>India</w:t>
      </w:r>
    </w:p>
    <w:p>
      <w:pPr>
        <w:pStyle w:val="Default"/>
        <w:numPr>
          <w:ilvl w:val="0"/>
          <w:numId w:val="2"/>
        </w:numPr>
        <w:suppressAutoHyphens w:val="1"/>
        <w:spacing w:before="0" w:line="240" w:lineRule="auto"/>
        <w:jc w:val="left"/>
        <w:rPr>
          <w:rFonts w:ascii="Times New Roman" w:hAnsi="Times New Roman"/>
        </w:rPr>
      </w:pPr>
      <w:r>
        <w:rPr>
          <w:rFonts w:ascii="Times New Roman" w:hAnsi="Times New Roman"/>
          <w:rtl w:val="0"/>
        </w:rPr>
        <w:t>Ireland</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South Korea</w:t>
      </w:r>
    </w:p>
    <w:p>
      <w:pPr>
        <w:pStyle w:val="Default"/>
        <w:numPr>
          <w:ilvl w:val="0"/>
          <w:numId w:val="2"/>
        </w:numPr>
        <w:suppressAutoHyphens w:val="1"/>
        <w:spacing w:before="0" w:line="240" w:lineRule="auto"/>
        <w:jc w:val="left"/>
        <w:rPr>
          <w:rFonts w:ascii="Times New Roman" w:hAnsi="Times New Roman"/>
          <w:lang w:val="en-US"/>
        </w:rPr>
      </w:pPr>
      <w:r>
        <w:rPr>
          <w:rFonts w:ascii="Times New Roman" w:hAnsi="Times New Roman"/>
          <w:rtl w:val="0"/>
          <w:lang w:val="en-US"/>
        </w:rPr>
        <w:t>International comparative samples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The international diversity of the literature indicates that occupational burnout represents a global challenge affecting hospitality employees across diverse cultural and organizational contexts.</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Principal Findings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Several conclusions consistently emerged throughout the literature.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Burnout is prevalent across virtually every hospitality occupation examined.</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Emotional exhaustion consistently represents the strongest dimension of burnout and is among the most powerful predictors of employee turnover intentions.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Leadership quality and perceived organizational support consistently reduce burnout while improving employee well-being and organizational commitment.</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Psychological capital and resilience function as important protective factors that buffer employees against chronic occupational stress.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Work-life conflict, excessive workload, customer mistreatment, job insecurity, and financial stress contribute significantly to burnout severity.</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Burnout negatively influences employee engagement, organizational commitment, job performance, psychological well-being, and employee retention.</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Collectively, these findings establish burnout as the central psychological construct within hospitality employee research.</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Research Gaps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Evidence Dossier S-001 identified several important opportunities for future investigation.</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First, comparatively little research examines clinically diagnosed depression, anxiety disorders, PTSD, or other mental health conditions beyond occupational burnout.</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Second, relatively few studies investigate suicide risk, suicidal ideation, or self-harm among hospitality employees.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Third, substance use, alcohol misuse, and maladaptive coping behaviors remain substantially underrepresented.</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Fourth, relatively little longitudinal research examines how burnout evolves throughout hospitality careers.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Fifth, comparatively little research directly compares mental health outcomes across hospitality sectors such as restaurants, hotels, casinos, cruise operations, and contract food service.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Finally, relatively few studies integrate burnout with broader conceptual models of hospitality employee mental health.</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These gaps directly informed the development of subsequent HMHP evidence dossiers.</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Implications for HMHP</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Evidence Dossier S-001 establishes burnout as the foundational construct of the Hospitality Mental Health Project.</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Current evidence demonstrates that burnout occupies a central position within hospitality employee mental health research while simultaneously highlighting important gaps concerning depression, anxiety, trauma, suicide, substance use, help-seeking behaviors, and organizational intervention.</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Rather than representing an isolated occupational outcome, burnout appears to function as the principal psychological mechanism connecting workplace stressors with broader mental health outcomes.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Consequently, burnout provides the conceptual foundation upon which the remaining HMHP evidence dossiers are organized.</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Relationship to the HMHP Integrated Conceptual Framework</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Evidence accumulated in S-001 establishes burnout as the central mechanism linking occupational stressors with broader psychological outcomes throughout the hospitality workforce.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Current evidence suggests that workplace demands</w:t>
      </w:r>
      <w:r>
        <w:rPr>
          <w:rFonts w:ascii="Times New Roman" w:hAnsi="Times New Roman" w:hint="default"/>
          <w:rtl w:val="0"/>
          <w:lang w:val="en-US"/>
        </w:rPr>
        <w:t>—</w:t>
      </w:r>
      <w:r>
        <w:rPr>
          <w:rFonts w:ascii="Times New Roman" w:hAnsi="Times New Roman"/>
          <w:rtl w:val="0"/>
          <w:lang w:val="en-US"/>
        </w:rPr>
        <w:t>including emotional labor, customer mistreatment, leadership quality, organizational support, and work-life conflict</w:t>
      </w:r>
      <w:r>
        <w:rPr>
          <w:rFonts w:ascii="Times New Roman" w:hAnsi="Times New Roman" w:hint="default"/>
          <w:rtl w:val="0"/>
          <w:lang w:val="en-US"/>
        </w:rPr>
        <w:t>—</w:t>
      </w:r>
      <w:r>
        <w:rPr>
          <w:rFonts w:ascii="Times New Roman" w:hAnsi="Times New Roman"/>
          <w:rtl w:val="0"/>
          <w:lang w:val="en-US"/>
        </w:rPr>
        <w:t>contribute directly to burnout and emotional exhaustion. Burnout subsequently increases vulnerability to depression, anxiety, sleep disruption, substance use, trauma-related symptoms, turnover intentions, and other adverse occupational outcomes.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Within the HMHP Integrated Conceptual Framework, burnout functions as the principal pathway connecting workplace stressors with employee psychological well-being and therefore serves as one of the foundational constructs underlying subsequent evidence dossiers.</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Overall Assessment</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Evidence Dossier S-001 demonstrates that burnout represents the most extensively studied psychological construct within hospitality employee research. The literature is theoretically mature, internationally represented, and supported by substantial empirical evidence.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Current findings consistently demonstrate that organizational support, leadership quality, resilience, and psychological capital reduce burnout while improving employee well-being. However, comparatively little attention has been devoted to clinical mental health outcomes including depression, anxiety, trauma, substance use, and suicide.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 xml:space="preserve">Overall confidence in the available evidence is </w:t>
      </w:r>
      <w:r>
        <w:rPr>
          <w:rFonts w:ascii="Times New Roman" w:hAnsi="Times New Roman"/>
          <w:b w:val="1"/>
          <w:bCs w:val="1"/>
          <w:rtl w:val="0"/>
          <w:lang w:val="en-US"/>
        </w:rPr>
        <w:t>very high</w:t>
      </w:r>
      <w:r>
        <w:rPr>
          <w:rFonts w:ascii="Times New Roman" w:hAnsi="Times New Roman"/>
          <w:rtl w:val="0"/>
          <w:lang w:val="en-US"/>
        </w:rPr>
        <w:t xml:space="preserve">, while confidence regarding burnout as a central organizing construct within hospitality mental health research is </w:t>
      </w:r>
      <w:r>
        <w:rPr>
          <w:rFonts w:ascii="Times New Roman" w:hAnsi="Times New Roman"/>
          <w:b w:val="1"/>
          <w:bCs w:val="1"/>
          <w:rtl w:val="0"/>
          <w:lang w:val="en-US"/>
        </w:rPr>
        <w:t>exceptionally high</w:t>
      </w:r>
      <w:r>
        <w:rPr>
          <w:rFonts w:ascii="Times New Roman" w:hAnsi="Times New Roman"/>
          <w:rtl w:val="0"/>
        </w:rPr>
        <w:t>.</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 xml:space="preserve">Tier I </w:t>
      </w:r>
      <w:r>
        <w:rPr>
          <w:rFonts w:ascii="Times New Roman" w:hAnsi="Times New Roman" w:hint="default"/>
          <w:b w:val="1"/>
          <w:bCs w:val="1"/>
          <w:rtl w:val="0"/>
        </w:rPr>
        <w:t xml:space="preserve">– </w:t>
      </w:r>
      <w:r>
        <w:rPr>
          <w:rFonts w:ascii="Times New Roman" w:hAnsi="Times New Roman"/>
          <w:b w:val="1"/>
          <w:bCs w:val="1"/>
          <w:rtl w:val="0"/>
          <w:lang w:val="en-US"/>
        </w:rPr>
        <w:t>Foundational Literature</w:t>
      </w:r>
    </w:p>
    <w:p>
      <w:pPr>
        <w:pStyle w:val="Default"/>
        <w:suppressAutoHyphens w:val="1"/>
        <w:spacing w:before="0" w:after="240" w:line="240" w:lineRule="auto"/>
        <w:rPr>
          <w:rFonts w:ascii="Times New Roman" w:cs="Times New Roman" w:hAnsi="Times New Roman" w:eastAsia="Times New Roman"/>
          <w:i w:val="0"/>
          <w:iCs w:val="0"/>
        </w:rPr>
      </w:pPr>
      <w:r>
        <w:rPr>
          <w:rFonts w:ascii="Times New Roman" w:hAnsi="Times New Roman"/>
          <w:i w:val="0"/>
          <w:iCs w:val="0"/>
          <w:rtl w:val="0"/>
          <w:lang w:val="pt-PT"/>
        </w:rPr>
        <w:t xml:space="preserve">Baquero, A. (2023). </w:t>
      </w:r>
      <w:r>
        <w:rPr>
          <w:rFonts w:ascii="Times New Roman" w:hAnsi="Times New Roman"/>
          <w:i w:val="1"/>
          <w:iCs w:val="1"/>
          <w:rtl w:val="0"/>
          <w:lang w:val="en-US"/>
        </w:rPr>
        <w:t>Hotel Employees' Burnout and Intention to Quit: The Role of Psychological Distress and Financial Well-Being in a Moderation Mediation Model.</w:t>
      </w:r>
    </w:p>
    <w:p>
      <w:pPr>
        <w:pStyle w:val="Default"/>
        <w:suppressAutoHyphens w:val="1"/>
        <w:spacing w:before="0" w:after="240" w:line="240" w:lineRule="auto"/>
        <w:rPr>
          <w:rFonts w:ascii="Times New Roman" w:cs="Times New Roman" w:hAnsi="Times New Roman" w:eastAsia="Times New Roman"/>
          <w:i w:val="0"/>
          <w:iCs w:val="0"/>
        </w:rPr>
      </w:pPr>
      <w:r>
        <w:rPr>
          <w:rFonts w:ascii="Times New Roman" w:hAnsi="Times New Roman"/>
          <w:i w:val="0"/>
          <w:iCs w:val="0"/>
          <w:rtl w:val="0"/>
        </w:rPr>
        <w:t xml:space="preserve">Chandran, K. S., &amp; Abukhalifeh, A. N. (2021). </w:t>
      </w:r>
      <w:r>
        <w:rPr>
          <w:rFonts w:ascii="Times New Roman" w:hAnsi="Times New Roman"/>
          <w:i w:val="1"/>
          <w:iCs w:val="1"/>
          <w:rtl w:val="0"/>
          <w:lang w:val="en-US"/>
        </w:rPr>
        <w:t>Systematic Literature Review of Research on Work-Life Balance in the Hospitality Industry Since the Millennium.</w:t>
      </w:r>
    </w:p>
    <w:p>
      <w:pPr>
        <w:pStyle w:val="Default"/>
        <w:suppressAutoHyphens w:val="1"/>
        <w:spacing w:before="0" w:after="240" w:line="240" w:lineRule="auto"/>
        <w:rPr>
          <w:rFonts w:ascii="Times New Roman" w:cs="Times New Roman" w:hAnsi="Times New Roman" w:eastAsia="Times New Roman"/>
          <w:i w:val="0"/>
          <w:iCs w:val="0"/>
        </w:rPr>
      </w:pPr>
      <w:r>
        <w:rPr>
          <w:rFonts w:ascii="Times New Roman" w:hAnsi="Times New Roman"/>
          <w:i w:val="0"/>
          <w:iCs w:val="0"/>
          <w:rtl w:val="0"/>
          <w:lang w:val="it-IT"/>
        </w:rPr>
        <w:t>Guerra, I. R., L</w:t>
      </w:r>
      <w:r>
        <w:rPr>
          <w:rFonts w:ascii="Times New Roman" w:hAnsi="Times New Roman" w:hint="default"/>
          <w:i w:val="0"/>
          <w:iCs w:val="0"/>
          <w:rtl w:val="0"/>
          <w:lang w:val="es-ES_tradnl"/>
        </w:rPr>
        <w:t>ó</w:t>
      </w:r>
      <w:r>
        <w:rPr>
          <w:rFonts w:ascii="Times New Roman" w:hAnsi="Times New Roman"/>
          <w:i w:val="0"/>
          <w:iCs w:val="0"/>
          <w:rtl w:val="0"/>
          <w:lang w:val="pt-PT"/>
        </w:rPr>
        <w:t xml:space="preserve">pez Santos, M. C., &amp; Barreal, P. J. (2026). </w:t>
      </w:r>
      <w:r>
        <w:rPr>
          <w:rFonts w:ascii="Times New Roman" w:hAnsi="Times New Roman"/>
          <w:i w:val="1"/>
          <w:iCs w:val="1"/>
          <w:rtl w:val="0"/>
          <w:lang w:val="en-US"/>
        </w:rPr>
        <w:t>Burnout and Working Conditions in the Spanish Hotel Sector: A Job Demands</w:t>
      </w:r>
      <w:r>
        <w:rPr>
          <w:rFonts w:ascii="Times New Roman" w:hAnsi="Times New Roman" w:hint="default"/>
          <w:i w:val="1"/>
          <w:iCs w:val="1"/>
          <w:rtl w:val="0"/>
        </w:rPr>
        <w:t>–</w:t>
      </w:r>
      <w:r>
        <w:rPr>
          <w:rFonts w:ascii="Times New Roman" w:hAnsi="Times New Roman"/>
          <w:i w:val="1"/>
          <w:iCs w:val="1"/>
          <w:rtl w:val="0"/>
          <w:lang w:val="en-US"/>
        </w:rPr>
        <w:t>Resources Analysis.</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rPr>
        <w:t>Han, H., Quan, W., Al-Ansi, A., Chung, H., Ngah, A. H., Ariza-Montes, A., &amp; Vega-Mu</w:t>
      </w:r>
      <w:r>
        <w:rPr>
          <w:rFonts w:ascii="Times New Roman" w:hAnsi="Times New Roman" w:hint="default"/>
          <w:rtl w:val="0"/>
          <w:lang w:val="es-ES_tradnl"/>
        </w:rPr>
        <w:t>ñ</w:t>
      </w:r>
      <w:r>
        <w:rPr>
          <w:rFonts w:ascii="Times New Roman" w:hAnsi="Times New Roman"/>
          <w:rtl w:val="0"/>
        </w:rPr>
        <w:t xml:space="preserve">oz, A. (2020). </w:t>
      </w:r>
      <w:r>
        <w:rPr>
          <w:rFonts w:ascii="Times New Roman" w:hAnsi="Times New Roman"/>
          <w:i w:val="1"/>
          <w:iCs w:val="1"/>
          <w:rtl w:val="0"/>
          <w:lang w:val="en-US"/>
        </w:rPr>
        <w:t>A Theoretical Framework Development for Hotel Employee Turnover.</w:t>
      </w:r>
    </w:p>
    <w:p>
      <w:pPr>
        <w:pStyle w:val="Default"/>
        <w:suppressAutoHyphens w:val="1"/>
        <w:spacing w:before="0" w:after="240" w:line="240" w:lineRule="auto"/>
        <w:rPr>
          <w:rFonts w:ascii="Times New Roman" w:cs="Times New Roman" w:hAnsi="Times New Roman" w:eastAsia="Times New Roman"/>
          <w:i w:val="0"/>
          <w:iCs w:val="0"/>
        </w:rPr>
      </w:pPr>
      <w:r>
        <w:rPr>
          <w:rFonts w:ascii="Times New Roman" w:hAnsi="Times New Roman"/>
          <w:i w:val="0"/>
          <w:iCs w:val="0"/>
          <w:rtl w:val="0"/>
          <w:lang w:val="it-IT"/>
        </w:rPr>
        <w:t xml:space="preserve">Lee, L., &amp; Madera, J. M. (2019). </w:t>
      </w:r>
      <w:r>
        <w:rPr>
          <w:rFonts w:ascii="Times New Roman" w:hAnsi="Times New Roman"/>
          <w:i w:val="1"/>
          <w:iCs w:val="1"/>
          <w:rtl w:val="0"/>
          <w:lang w:val="en-US"/>
        </w:rPr>
        <w:t>A Systematic Literature Review of Emotional Labor Research from the Hospitality and Tourism Literature.</w:t>
      </w:r>
    </w:p>
    <w:p>
      <w:pPr>
        <w:pStyle w:val="Default"/>
        <w:suppressAutoHyphens w:val="1"/>
        <w:spacing w:before="0" w:after="240" w:line="240" w:lineRule="auto"/>
        <w:rPr>
          <w:rFonts w:ascii="Times New Roman" w:cs="Times New Roman" w:hAnsi="Times New Roman" w:eastAsia="Times New Roman"/>
          <w:i w:val="0"/>
          <w:iCs w:val="0"/>
        </w:rPr>
      </w:pPr>
      <w:r>
        <w:rPr>
          <w:rFonts w:ascii="Times New Roman" w:hAnsi="Times New Roman"/>
          <w:i w:val="0"/>
          <w:iCs w:val="0"/>
          <w:rtl w:val="0"/>
        </w:rPr>
        <w:t xml:space="preserve">Salama, W., Ahmed, H. A., Mohamed, S. A. K., &amp; Shehata, H. S. (2022). </w:t>
      </w:r>
      <w:r>
        <w:rPr>
          <w:rFonts w:ascii="Times New Roman" w:hAnsi="Times New Roman"/>
          <w:i w:val="1"/>
          <w:iCs w:val="1"/>
          <w:rtl w:val="0"/>
          <w:lang w:val="en-US"/>
        </w:rPr>
        <w:t>Impact of Work Stress and Job Burnout on Turnover Intentions Among Hotel Employees.</w:t>
      </w:r>
    </w:p>
    <w:p>
      <w:pPr>
        <w:pStyle w:val="Default"/>
        <w:suppressAutoHyphens w:val="1"/>
        <w:spacing w:before="0" w:after="240" w:line="240" w:lineRule="auto"/>
        <w:rPr>
          <w:rFonts w:ascii="Times New Roman" w:cs="Times New Roman" w:hAnsi="Times New Roman" w:eastAsia="Times New Roman"/>
          <w:i w:val="0"/>
          <w:iCs w:val="0"/>
        </w:rPr>
      </w:pPr>
      <w:r>
        <w:rPr>
          <w:rFonts w:ascii="Times New Roman" w:hAnsi="Times New Roman"/>
          <w:i w:val="0"/>
          <w:iCs w:val="0"/>
          <w:rtl w:val="0"/>
          <w:lang w:val="en-US"/>
        </w:rPr>
        <w:t xml:space="preserve">Wallace, E., &amp; Coughlan, J. (2023). </w:t>
      </w:r>
      <w:r>
        <w:rPr>
          <w:rFonts w:ascii="Times New Roman" w:hAnsi="Times New Roman"/>
          <w:i w:val="1"/>
          <w:iCs w:val="1"/>
          <w:rtl w:val="0"/>
          <w:lang w:val="en-US"/>
        </w:rPr>
        <w:t>Burnout and Counterproductive Workplace Behaviors Among Frontline Hospitality Employees.</w:t>
      </w:r>
    </w:p>
    <w:p>
      <w:pPr>
        <w:pStyle w:val="Default"/>
        <w:suppressAutoHyphens w:val="1"/>
        <w:spacing w:before="0" w:after="240" w:line="240" w:lineRule="auto"/>
        <w:rPr>
          <w:rFonts w:ascii="Times New Roman" w:cs="Times New Roman" w:hAnsi="Times New Roman" w:eastAsia="Times New Roman"/>
          <w:i w:val="0"/>
          <w:iCs w:val="0"/>
        </w:rPr>
      </w:pPr>
      <w:r>
        <w:rPr>
          <w:rFonts w:ascii="Times New Roman" w:hAnsi="Times New Roman"/>
          <w:i w:val="0"/>
          <w:iCs w:val="0"/>
          <w:rtl w:val="0"/>
        </w:rPr>
        <w:t xml:space="preserve">Xu, S., &amp; Zheng, C. C. (2019). </w:t>
      </w:r>
      <w:r>
        <w:rPr>
          <w:rFonts w:ascii="Times New Roman" w:hAnsi="Times New Roman"/>
          <w:i w:val="1"/>
          <w:iCs w:val="1"/>
          <w:rtl w:val="0"/>
          <w:lang w:val="en-US"/>
        </w:rPr>
        <w:t>Antecedents and Outcomes of Work</w:t>
      </w:r>
      <w:r>
        <w:rPr>
          <w:rFonts w:ascii="Times New Roman" w:hAnsi="Times New Roman" w:hint="default"/>
          <w:i w:val="1"/>
          <w:iCs w:val="1"/>
          <w:rtl w:val="0"/>
        </w:rPr>
        <w:t>–</w:t>
      </w:r>
      <w:r>
        <w:rPr>
          <w:rFonts w:ascii="Times New Roman" w:hAnsi="Times New Roman"/>
          <w:i w:val="1"/>
          <w:iCs w:val="1"/>
          <w:rtl w:val="0"/>
          <w:lang w:val="en-US"/>
        </w:rPr>
        <w:t>Nonwork Conflict in Hospitality: A Meta-Analysis.</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de-DE"/>
        </w:rPr>
        <w:t xml:space="preserve">Tier II </w:t>
      </w:r>
      <w:r>
        <w:rPr>
          <w:rFonts w:ascii="Times New Roman" w:hAnsi="Times New Roman" w:hint="default"/>
          <w:b w:val="1"/>
          <w:bCs w:val="1"/>
          <w:rtl w:val="0"/>
        </w:rPr>
        <w:t xml:space="preserve">– </w:t>
      </w:r>
      <w:r>
        <w:rPr>
          <w:rFonts w:ascii="Times New Roman" w:hAnsi="Times New Roman"/>
          <w:b w:val="1"/>
          <w:bCs w:val="1"/>
          <w:rtl w:val="0"/>
          <w:lang w:val="en-US"/>
        </w:rPr>
        <w:t>Supporting Literature</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Alzghoul, A., et al. (2023).</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rPr>
        <w:t>A</w:t>
      </w:r>
      <w:r>
        <w:rPr>
          <w:rFonts w:ascii="Times New Roman" w:hAnsi="Times New Roman" w:hint="default"/>
          <w:rtl w:val="0"/>
        </w:rPr>
        <w:t>ž</w:t>
      </w:r>
      <w:r>
        <w:rPr>
          <w:rFonts w:ascii="Times New Roman" w:hAnsi="Times New Roman"/>
          <w:rtl w:val="0"/>
        </w:rPr>
        <w:t>i</w:t>
      </w:r>
      <w:r>
        <w:rPr>
          <w:rFonts w:ascii="Times New Roman" w:hAnsi="Times New Roman" w:hint="default"/>
          <w:rtl w:val="0"/>
        </w:rPr>
        <w:t>ć</w:t>
      </w:r>
      <w:r>
        <w:rPr>
          <w:rFonts w:ascii="Times New Roman" w:hAnsi="Times New Roman"/>
          <w:rtl w:val="0"/>
        </w:rPr>
        <w:t>, M. L., et al. (2024).</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rPr>
        <w:t>Gharbi, H. (2025).</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Goswami, I., &amp; Dsilva, N. R. (2019).</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Hayes, C. T., &amp; Weathington, B. L. (2007).</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rPr>
        <w:t>Hsieh, H., et al. (2016).</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rPr>
        <w:t>Johnson, K. R., &amp; Park, S. (2020).</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rPr>
        <w:t>Ko, C., &amp; Jeng, S. (2016).</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it-IT"/>
        </w:rPr>
        <w:t>Ko, C., &amp; Lin, S. (2016).</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rPr>
        <w:t>Lee, P. C., Li, G., &amp; Zhang, J. Y. (2025).</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rPr>
        <w:t>Lee, P. C., Li, G., &amp; Zhou, T. (2026).</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rPr>
        <w:t>Li, M., Zhao, Z., &amp; Cui, L. (2021).</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fr-FR"/>
        </w:rPr>
        <w:t>Moustafa, M. A., et al. (2024).</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pt-PT"/>
        </w:rPr>
        <w:t>You-De, D., et al. (2021).</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Investigator Notes</w:t>
      </w:r>
    </w:p>
    <w:p>
      <w:pPr>
        <w:pStyle w:val="Default"/>
        <w:suppressAutoHyphens w:val="1"/>
        <w:spacing w:before="0" w:after="281" w:line="240" w:lineRule="auto"/>
        <w:rPr>
          <w:rFonts w:ascii="Times New Roman" w:cs="Times New Roman" w:hAnsi="Times New Roman" w:eastAsia="Times New Roman"/>
          <w:b w:val="1"/>
          <w:bCs w:val="1"/>
        </w:rPr>
      </w:pPr>
      <w:r>
        <w:rPr>
          <w:rFonts w:ascii="Times New Roman" w:hAnsi="Times New Roman"/>
          <w:b w:val="1"/>
          <w:bCs w:val="1"/>
          <w:rtl w:val="0"/>
          <w:lang w:val="en-US"/>
        </w:rPr>
        <w:t>Key Insight 1</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Burnout represents the dominant organizing construct within hospitality employee mental health research and serves as the conceptual foundation upon which much of the existing literature has been built.</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281" w:line="240" w:lineRule="auto"/>
        <w:rPr>
          <w:rFonts w:ascii="Times New Roman" w:cs="Times New Roman" w:hAnsi="Times New Roman" w:eastAsia="Times New Roman"/>
          <w:b w:val="1"/>
          <w:bCs w:val="1"/>
        </w:rPr>
      </w:pPr>
      <w:r>
        <w:rPr>
          <w:rFonts w:ascii="Times New Roman" w:hAnsi="Times New Roman"/>
          <w:b w:val="1"/>
          <w:bCs w:val="1"/>
          <w:rtl w:val="0"/>
          <w:lang w:val="en-US"/>
        </w:rPr>
        <w:t>Key Insight 2</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Hospitality research has historically emphasized occupational psychology and organizational outcomes while devoting comparatively less attention to clinically significant mental health conditions. This observation directly motivated the expansion of the HMHP literature review into depression, anxiety, trauma, suicide, substance use, and related psychological outcomes.</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281" w:line="240" w:lineRule="auto"/>
        <w:rPr>
          <w:rFonts w:ascii="Times New Roman" w:cs="Times New Roman" w:hAnsi="Times New Roman" w:eastAsia="Times New Roman"/>
          <w:b w:val="1"/>
          <w:bCs w:val="1"/>
        </w:rPr>
      </w:pPr>
      <w:r>
        <w:rPr>
          <w:rFonts w:ascii="Times New Roman" w:hAnsi="Times New Roman"/>
          <w:b w:val="1"/>
          <w:bCs w:val="1"/>
          <w:rtl w:val="0"/>
          <w:lang w:val="en-US"/>
        </w:rPr>
        <w:t>Key Insight 3</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Leadership quality, organizational support, psychological capital, resilience, and healthy workplace cultures consistently emerge as the strongest protective factors capable of reducing burnout while improving employee well-being.</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281" w:line="240" w:lineRule="auto"/>
        <w:rPr>
          <w:rFonts w:ascii="Times New Roman" w:cs="Times New Roman" w:hAnsi="Times New Roman" w:eastAsia="Times New Roman"/>
          <w:b w:val="1"/>
          <w:bCs w:val="1"/>
        </w:rPr>
      </w:pPr>
      <w:r>
        <w:rPr>
          <w:rFonts w:ascii="Times New Roman" w:hAnsi="Times New Roman"/>
          <w:b w:val="1"/>
          <w:bCs w:val="1"/>
          <w:rtl w:val="0"/>
          <w:lang w:val="en-US"/>
        </w:rPr>
        <w:t>Key Insight 4</w:t>
      </w:r>
    </w:p>
    <w:p>
      <w:pPr>
        <w:pStyle w:val="Default"/>
        <w:suppressAutoHyphens w:val="1"/>
        <w:spacing w:before="0" w:after="240" w:line="240" w:lineRule="auto"/>
        <w:rPr>
          <w:rFonts w:ascii="Times New Roman" w:cs="Times New Roman" w:hAnsi="Times New Roman" w:eastAsia="Times New Roman"/>
        </w:rPr>
      </w:pPr>
      <w:r>
        <w:rPr>
          <w:rFonts w:ascii="Times New Roman" w:hAnsi="Times New Roman"/>
          <w:rtl w:val="0"/>
          <w:lang w:val="en-US"/>
        </w:rPr>
        <w:t>Evidence Dossier S-001 naturally establishes the foundation for Evidence Dossier S-002 by identifying emotional labor as one of the principal occupational mechanisms contributing to burnout among hospitality employees.</w:t>
      </w:r>
    </w:p>
    <w:p>
      <w:pPr>
        <w:pStyle w:val="Default"/>
        <w:suppressAutoHyphens w:val="1"/>
        <w:spacing w:before="0" w:line="240" w:lineRule="auto"/>
        <w:rPr>
          <w:rFonts w:ascii="Times New Roman" w:cs="Times New Roman" w:hAnsi="Times New Roman" w:eastAsia="Times New Roman"/>
        </w:rPr>
      </w:pPr>
    </w:p>
    <w:p>
      <w:pPr>
        <w:pStyle w:val="Default"/>
        <w:suppressAutoHyphens w:val="1"/>
        <w:spacing w:before="0" w:after="322" w:line="240" w:lineRule="auto"/>
        <w:rPr>
          <w:rFonts w:ascii="Times New Roman" w:cs="Times New Roman" w:hAnsi="Times New Roman" w:eastAsia="Times New Roman"/>
          <w:b w:val="1"/>
          <w:bCs w:val="1"/>
        </w:rPr>
      </w:pPr>
      <w:r>
        <w:rPr>
          <w:rFonts w:ascii="Times New Roman" w:hAnsi="Times New Roman"/>
          <w:b w:val="1"/>
          <w:bCs w:val="1"/>
          <w:rtl w:val="0"/>
          <w:lang w:val="en-US"/>
        </w:rPr>
        <w:t>Summary</w:t>
      </w:r>
    </w:p>
    <w:p>
      <w:pPr>
        <w:pStyle w:val="Default"/>
        <w:suppressAutoHyphens w:val="1"/>
        <w:spacing w:before="0" w:after="240" w:line="240" w:lineRule="auto"/>
      </w:pPr>
      <w:r>
        <w:rPr>
          <w:rFonts w:ascii="Times New Roman" w:hAnsi="Times New Roman"/>
          <w:rtl w:val="0"/>
          <w:lang w:val="en-US"/>
        </w:rPr>
        <w:t>Evidence Dossier S-001 establishes burnout as the foundational construct within hospitality employee mental health research. Across diverse hospitality settings, burnout consistently predicts emotional exhaustion, diminished organizational commitment, reduced job satisfaction, impaired job performance, counterproductive workplace behaviors, and increased turnover intentions. The literature further demonstrates that organizational support, effective leadership, resilience, and psychological capital function as important protective factors capable of mitigating burnout and improving employee well-being. Although burnout represents one of the most mature and theoretically developed areas within hospitality scholarship, comparatively little research has examined clinical mental health conditions beyond occupational exhaustion. Collectively, the findings of Evidence Dossier S-001 establish burnout as the cornerstone of the Hospitality Mental Health Project and provide the evidence base for subsequent investigation of emotional labor, psychological distress, and the broader spectrum of mental health among hospitality employees.</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Bullet"/>
  </w:abstractNum>
  <w:abstractNum w:abstractNumId="1">
    <w:multiLevelType w:val="hybridMultilevel"/>
    <w:styleLink w:val="Bullet"/>
    <w:lvl w:ilvl="0">
      <w:start w:val="1"/>
      <w:numFmt w:val="bullet"/>
      <w:suff w:val="tab"/>
      <w:lvlText w:val="•"/>
      <w:lvlJc w:val="left"/>
      <w:pPr>
        <w:ind w:left="72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0"/>
        <w:highlight w:val="none"/>
        <w:vertAlign w:val="baseline"/>
      </w:rPr>
    </w:lvl>
    <w:lvl w:ilvl="1">
      <w:start w:val="1"/>
      <w:numFmt w:val="bullet"/>
      <w:suff w:val="tab"/>
      <w:lvlText w:val="•"/>
      <w:lvlJc w:val="left"/>
      <w:pPr>
        <w:ind w:left="94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2">
      <w:start w:val="1"/>
      <w:numFmt w:val="bullet"/>
      <w:suff w:val="tab"/>
      <w:lvlText w:val="•"/>
      <w:lvlJc w:val="left"/>
      <w:pPr>
        <w:ind w:left="116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3">
      <w:start w:val="1"/>
      <w:numFmt w:val="bullet"/>
      <w:suff w:val="tab"/>
      <w:lvlText w:val="•"/>
      <w:lvlJc w:val="left"/>
      <w:pPr>
        <w:ind w:left="138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4">
      <w:start w:val="1"/>
      <w:numFmt w:val="bullet"/>
      <w:suff w:val="tab"/>
      <w:lvlText w:val="•"/>
      <w:lvlJc w:val="left"/>
      <w:pPr>
        <w:ind w:left="160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5">
      <w:start w:val="1"/>
      <w:numFmt w:val="bullet"/>
      <w:suff w:val="tab"/>
      <w:lvlText w:val="•"/>
      <w:lvlJc w:val="left"/>
      <w:pPr>
        <w:ind w:left="182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6">
      <w:start w:val="1"/>
      <w:numFmt w:val="bullet"/>
      <w:suff w:val="tab"/>
      <w:lvlText w:val="•"/>
      <w:lvlJc w:val="left"/>
      <w:pPr>
        <w:ind w:left="204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7">
      <w:start w:val="1"/>
      <w:numFmt w:val="bullet"/>
      <w:suff w:val="tab"/>
      <w:lvlText w:val="•"/>
      <w:lvlJc w:val="left"/>
      <w:pPr>
        <w:ind w:left="226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lvl w:ilvl="8">
      <w:start w:val="1"/>
      <w:numFmt w:val="bullet"/>
      <w:suff w:val="tab"/>
      <w:lvlText w:val="•"/>
      <w:lvlJc w:val="left"/>
      <w:pPr>
        <w:ind w:left="2480" w:hanging="500"/>
      </w:pPr>
      <w:rPr>
        <w:rFonts w:ascii="Times Roman" w:cs="Times Roman" w:hAnsi="Times Roman" w:eastAsia="Times Roman"/>
        <w:b w:val="0"/>
        <w:bCs w:val="0"/>
        <w:i w:val="0"/>
        <w:iCs w:val="0"/>
        <w:caps w:val="0"/>
        <w:smallCaps w:val="0"/>
        <w:strike w:val="0"/>
        <w:dstrike w:val="0"/>
        <w:outline w:val="0"/>
        <w:emboss w:val="0"/>
        <w:imprint w:val="0"/>
        <w:color w:val="ffffff"/>
        <w:spacing w:val="0"/>
        <w:w w:val="100"/>
        <w:kern w:val="0"/>
        <w:position w:val="-2"/>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numbering" w:styleId="Bullet">
    <w:name w:val="Bullet"/>
    <w:pPr>
      <w:numPr>
        <w:numId w:val="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